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219C83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36205">
        <w:rPr>
          <w:bCs/>
          <w:noProof w:val="0"/>
          <w:sz w:val="24"/>
          <w:szCs w:val="24"/>
        </w:rPr>
        <w:t>3</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9376CD" w:rsidRPr="00F460B0">
        <w:rPr>
          <w:bCs/>
          <w:noProof w:val="0"/>
          <w:sz w:val="24"/>
          <w:szCs w:val="24"/>
        </w:rPr>
        <w:t>2</w:t>
      </w:r>
      <w:r w:rsidR="00036205">
        <w:rPr>
          <w:bCs/>
          <w:noProof w:val="0"/>
          <w:sz w:val="24"/>
          <w:szCs w:val="24"/>
        </w:rPr>
        <w:t>1</w:t>
      </w:r>
      <w:r w:rsidR="007A4BC3">
        <w:rPr>
          <w:bCs/>
          <w:noProof w:val="0"/>
          <w:sz w:val="24"/>
          <w:szCs w:val="24"/>
        </w:rPr>
        <w:t>03233</w:t>
      </w:r>
    </w:p>
    <w:p w14:paraId="11776FA6" w14:textId="5C58397C"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50460E">
        <w:rPr>
          <w:bCs/>
          <w:sz w:val="24"/>
          <w:szCs w:val="24"/>
          <w:lang w:eastAsia="zh-CN"/>
        </w:rPr>
        <w:t>12</w:t>
      </w:r>
      <w:r w:rsidR="0050460E" w:rsidRPr="0050460E">
        <w:rPr>
          <w:bCs/>
          <w:sz w:val="24"/>
          <w:szCs w:val="24"/>
          <w:vertAlign w:val="superscript"/>
          <w:lang w:eastAsia="zh-CN"/>
        </w:rPr>
        <w:t>th</w:t>
      </w:r>
      <w:r w:rsidR="0050460E">
        <w:rPr>
          <w:bCs/>
          <w:sz w:val="24"/>
          <w:szCs w:val="24"/>
          <w:lang w:eastAsia="zh-CN"/>
        </w:rPr>
        <w:t xml:space="preserve"> April </w:t>
      </w:r>
      <w:r w:rsidR="000F034D" w:rsidRPr="006574C0">
        <w:rPr>
          <w:bCs/>
          <w:sz w:val="24"/>
          <w:szCs w:val="24"/>
          <w:lang w:eastAsia="zh-CN"/>
        </w:rPr>
        <w:t xml:space="preserve"> – </w:t>
      </w:r>
      <w:r w:rsidR="0050460E">
        <w:rPr>
          <w:bCs/>
          <w:sz w:val="24"/>
          <w:szCs w:val="24"/>
          <w:lang w:eastAsia="zh-CN"/>
        </w:rPr>
        <w:t>20</w:t>
      </w:r>
      <w:r w:rsidR="0050460E" w:rsidRPr="0050460E">
        <w:rPr>
          <w:bCs/>
          <w:sz w:val="24"/>
          <w:szCs w:val="24"/>
          <w:vertAlign w:val="superscript"/>
          <w:lang w:eastAsia="zh-CN"/>
        </w:rPr>
        <w:t>th</w:t>
      </w:r>
      <w:r w:rsidR="0050460E">
        <w:rPr>
          <w:bCs/>
          <w:sz w:val="24"/>
          <w:szCs w:val="24"/>
          <w:lang w:eastAsia="zh-CN"/>
        </w:rPr>
        <w:t xml:space="preserve"> </w:t>
      </w:r>
      <w:r w:rsidR="00885B22">
        <w:rPr>
          <w:bCs/>
          <w:sz w:val="24"/>
          <w:szCs w:val="24"/>
          <w:lang w:eastAsia="zh-CN"/>
        </w:rPr>
        <w:t>of</w:t>
      </w:r>
      <w:r w:rsidR="00036205">
        <w:rPr>
          <w:bCs/>
          <w:sz w:val="24"/>
          <w:szCs w:val="24"/>
          <w:lang w:eastAsia="zh-CN"/>
        </w:rPr>
        <w:t xml:space="preserve"> </w:t>
      </w:r>
      <w:r w:rsidR="0050460E">
        <w:rPr>
          <w:bCs/>
          <w:sz w:val="24"/>
          <w:szCs w:val="24"/>
          <w:lang w:eastAsia="zh-CN"/>
        </w:rPr>
        <w:t>April</w:t>
      </w:r>
      <w:r w:rsidR="000F034D" w:rsidRPr="006574C0">
        <w:rPr>
          <w:bCs/>
          <w:sz w:val="24"/>
          <w:szCs w:val="24"/>
          <w:lang w:eastAsia="zh-CN"/>
        </w:rPr>
        <w:t xml:space="preserve"> 20</w:t>
      </w:r>
      <w:r w:rsidR="000F034D">
        <w:rPr>
          <w:bCs/>
          <w:sz w:val="24"/>
          <w:szCs w:val="24"/>
          <w:lang w:eastAsia="zh-CN"/>
        </w:rPr>
        <w:t>2</w:t>
      </w:r>
      <w:r w:rsidR="00036205">
        <w:rPr>
          <w:bCs/>
          <w:sz w:val="24"/>
          <w:szCs w:val="24"/>
          <w:lang w:eastAsia="zh-CN"/>
        </w:rPr>
        <w:t>1</w:t>
      </w:r>
      <w:r w:rsidR="0079021D">
        <w:rPr>
          <w:bCs/>
          <w:sz w:val="24"/>
          <w:szCs w:val="24"/>
          <w:lang w:eastAsia="zh-CN"/>
        </w:rPr>
        <w:t xml:space="preserve">                                                     </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9F4B81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7236">
        <w:rPr>
          <w:rFonts w:cs="Arial"/>
          <w:b/>
          <w:bCs/>
          <w:sz w:val="24"/>
          <w:lang w:eastAsia="ja-JP"/>
        </w:rPr>
        <w:t>9</w:t>
      </w:r>
      <w:r w:rsidR="00036205">
        <w:rPr>
          <w:rFonts w:cs="Arial"/>
          <w:b/>
          <w:bCs/>
          <w:sz w:val="24"/>
          <w:lang w:eastAsia="ja-JP"/>
        </w:rPr>
        <w:t>.</w:t>
      </w:r>
      <w:r w:rsidR="00C07236">
        <w:rPr>
          <w:rFonts w:cs="Arial"/>
          <w:b/>
          <w:bCs/>
          <w:sz w:val="24"/>
          <w:lang w:eastAsia="ja-JP"/>
        </w:rPr>
        <w:t>2</w:t>
      </w:r>
      <w:r w:rsidR="00036205">
        <w:rPr>
          <w:rFonts w:cs="Arial"/>
          <w:b/>
          <w:bCs/>
          <w:sz w:val="24"/>
          <w:lang w:eastAsia="ja-JP"/>
        </w:rPr>
        <w:t>.</w:t>
      </w:r>
      <w:r w:rsidR="0090155A">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5D600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155A">
        <w:rPr>
          <w:rFonts w:ascii="Arial" w:hAnsi="Arial" w:cs="Arial"/>
          <w:b/>
          <w:bCs/>
          <w:sz w:val="24"/>
        </w:rPr>
        <w:t>On system information enhancement and IoT</w:t>
      </w:r>
      <w:r w:rsidR="00C07236">
        <w:rPr>
          <w:rFonts w:ascii="Arial" w:hAnsi="Arial" w:cs="Arial"/>
          <w:b/>
          <w:bCs/>
          <w:sz w:val="24"/>
        </w:rPr>
        <w:t xml:space="preserve"> </w:t>
      </w:r>
      <w:r w:rsidR="0090155A">
        <w:rPr>
          <w:rFonts w:ascii="Arial" w:hAnsi="Arial" w:cs="Arial"/>
          <w:b/>
          <w:bCs/>
          <w:sz w:val="24"/>
        </w:rPr>
        <w:t>f</w:t>
      </w:r>
      <w:r w:rsidR="00C07236">
        <w:rPr>
          <w:rFonts w:ascii="Arial" w:hAnsi="Arial" w:cs="Arial"/>
          <w:b/>
          <w:bCs/>
          <w:sz w:val="24"/>
        </w:rPr>
        <w:t xml:space="preserve">eatures </w:t>
      </w:r>
      <w:r w:rsidR="0090155A">
        <w:rPr>
          <w:rFonts w:ascii="Arial" w:hAnsi="Arial" w:cs="Arial"/>
          <w:b/>
          <w:bCs/>
          <w:sz w:val="24"/>
        </w:rPr>
        <w:t>a</w:t>
      </w:r>
      <w:r w:rsidR="00C07236">
        <w:rPr>
          <w:rFonts w:ascii="Arial" w:hAnsi="Arial" w:cs="Arial"/>
          <w:b/>
          <w:bCs/>
          <w:sz w:val="24"/>
        </w:rPr>
        <w:t>pplicability for NTN</w:t>
      </w:r>
    </w:p>
    <w:p w14:paraId="1F147C23" w14:textId="1BA6EC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E6959" w:rsidRPr="008E0FB9">
        <w:rPr>
          <w:rFonts w:ascii="Arial" w:hAnsi="Arial" w:cs="Arial"/>
          <w:b/>
          <w:bCs/>
          <w:sz w:val="24"/>
        </w:rPr>
        <w:t>FS_LTE_NBIOT_eMTC_NTN</w:t>
      </w:r>
      <w:r w:rsidR="001E6959">
        <w:rPr>
          <w:rFonts w:ascii="Arial" w:hAnsi="Arial" w:cs="Arial"/>
          <w:b/>
          <w:bCs/>
          <w:sz w:val="24"/>
        </w:rPr>
        <w:t xml:space="preserve"> – Rel17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31599E0B" w14:textId="4F746BA7" w:rsidR="008A514C" w:rsidRDefault="008A514C" w:rsidP="008A514C">
      <w:pPr>
        <w:jc w:val="both"/>
      </w:pPr>
      <w:r w:rsidRPr="00705DE2">
        <w:t>In RAN</w:t>
      </w:r>
      <w:r w:rsidR="00492BF4">
        <w:t>P</w:t>
      </w:r>
      <w:r w:rsidRPr="00705DE2">
        <w:t>#91 meeting, there was some discussions on the minimum scope of IoT NTN SI</w:t>
      </w:r>
      <w:r>
        <w:t xml:space="preserve"> in Rel-17 as summarized in RP-210915</w:t>
      </w:r>
      <w:r w:rsidRPr="00705DE2">
        <w:t>.</w:t>
      </w:r>
      <w:r>
        <w:t xml:space="preserve"> </w:t>
      </w:r>
      <w:r w:rsidRPr="004C5D74">
        <w:t>The functionalities needed specifically for IoT over NTN that cannot be translated from the ongoing NR NTN WI is one key aspect to be prioritized.</w:t>
      </w:r>
      <w:r>
        <w:t xml:space="preserve"> In this contribution, we discuss the system information enhancements, as well as NB-IoT/eMTC features introduced in past 3GPP releases which is useful in the IoT over NTN.</w:t>
      </w:r>
    </w:p>
    <w:p w14:paraId="2BBFF540" w14:textId="2BCDDAFA" w:rsidR="00A209D6" w:rsidRDefault="00A209D6" w:rsidP="00A209D6">
      <w:pPr>
        <w:pStyle w:val="Heading1"/>
      </w:pPr>
      <w:r w:rsidRPr="006E13D1">
        <w:t>2</w:t>
      </w:r>
      <w:r w:rsidRPr="006E13D1">
        <w:tab/>
      </w:r>
      <w:r w:rsidR="00BB2426">
        <w:t>Discussion</w:t>
      </w:r>
    </w:p>
    <w:p w14:paraId="49EF070D" w14:textId="1139839B" w:rsidR="00D90F29" w:rsidRDefault="00D90F29" w:rsidP="00D90F29">
      <w:pPr>
        <w:pStyle w:val="Heading2"/>
      </w:pPr>
      <w:r>
        <w:t>2.1 System Information Enhancements</w:t>
      </w:r>
    </w:p>
    <w:p w14:paraId="1880C59B" w14:textId="4A9CA12D" w:rsidR="00762B47" w:rsidRDefault="00762B47" w:rsidP="00D90F29">
      <w:r>
        <w:t>In terrestrial IoT system, stationary or low mobility UE configured with eDRX configuration will have to synchronise to the same cell at the time of paging occasion and MIB acquisition. The system information contents need not be re-acquired if there was no change in system information between the eDRX paging occasions. UE detects the changes in system information based MIB value tag. For the same scenario in IoT-NTN, the UE may see new cell at time of eDRX paging occasion which depends on eDRX period and also the NTN cell change frequency. In this case the UE may need to re-acquire all the system information as it detected new cell. This will happen for most of the eDRX paging occasions. Additional system information re-acquisition for eDRX occasion will lead to considerable increase in energy consumption of idle mode operation.</w:t>
      </w:r>
    </w:p>
    <w:p w14:paraId="71EE5250" w14:textId="45D90CCF" w:rsidR="00D90F29" w:rsidRDefault="004925E3" w:rsidP="00D90F29">
      <w:r>
        <w:t>Common system information across group of cells which are tracked via separate value tag can be considered to minimise the impact of system information re-acquistion. The area-based system information concept introduced in NR for specific set of system information can be extended for IoT-NTN. Alternatively, the UE may preserve system information for larger number of IoT-NTN cells with longer validity period.</w:t>
      </w:r>
    </w:p>
    <w:p w14:paraId="5ED8CA09" w14:textId="2368BB2C" w:rsidR="00D90F29" w:rsidRPr="00A31FAF" w:rsidRDefault="00D90F29" w:rsidP="00D90F29">
      <w:pPr>
        <w:rPr>
          <w:b/>
          <w:bCs/>
        </w:rPr>
      </w:pPr>
      <w:r w:rsidRPr="00A31FAF">
        <w:rPr>
          <w:b/>
          <w:bCs/>
        </w:rPr>
        <w:t>Observation</w:t>
      </w:r>
      <w:r w:rsidR="0090155A">
        <w:rPr>
          <w:b/>
          <w:bCs/>
        </w:rPr>
        <w:t xml:space="preserve"> 1</w:t>
      </w:r>
      <w:r w:rsidRPr="00A31FAF">
        <w:rPr>
          <w:b/>
          <w:bCs/>
        </w:rPr>
        <w:t>: NTN cell mobility will have significant impact on energy consumption for eDRX operation due to increased system information re-</w:t>
      </w:r>
      <w:r w:rsidR="00FE1B71" w:rsidRPr="00A31FAF">
        <w:rPr>
          <w:b/>
          <w:bCs/>
        </w:rPr>
        <w:t>acquisition</w:t>
      </w:r>
      <w:r w:rsidRPr="00A31FAF">
        <w:rPr>
          <w:b/>
          <w:bCs/>
        </w:rPr>
        <w:t>.</w:t>
      </w:r>
    </w:p>
    <w:p w14:paraId="490F8338" w14:textId="75E0072C" w:rsidR="00D90F29" w:rsidRPr="006376A3" w:rsidRDefault="00D90F29" w:rsidP="00D90F29">
      <w:r w:rsidRPr="00A31FAF">
        <w:rPr>
          <w:b/>
          <w:bCs/>
        </w:rPr>
        <w:t>Proposal</w:t>
      </w:r>
      <w:r w:rsidR="0090155A">
        <w:rPr>
          <w:b/>
          <w:bCs/>
        </w:rPr>
        <w:t xml:space="preserve"> 1</w:t>
      </w:r>
      <w:r w:rsidRPr="00A31FAF">
        <w:rPr>
          <w:b/>
          <w:bCs/>
        </w:rPr>
        <w:t xml:space="preserve">: RAN2 to consider enhancements to minimise the system information </w:t>
      </w:r>
      <w:r w:rsidR="004B2429" w:rsidRPr="00A31FAF">
        <w:rPr>
          <w:b/>
          <w:bCs/>
        </w:rPr>
        <w:t>acquisition</w:t>
      </w:r>
      <w:r w:rsidRPr="00A31FAF">
        <w:rPr>
          <w:b/>
          <w:bCs/>
        </w:rPr>
        <w:t xml:space="preserve"> for eDRX operation as part of the study Item.</w:t>
      </w:r>
    </w:p>
    <w:p w14:paraId="1E9B3E88" w14:textId="2E8027C2" w:rsidR="0050460E" w:rsidRDefault="006376A3" w:rsidP="0050460E">
      <w:pPr>
        <w:pStyle w:val="Heading2"/>
      </w:pPr>
      <w:r>
        <w:t>2.</w:t>
      </w:r>
      <w:r w:rsidR="00D90F29">
        <w:t>2</w:t>
      </w:r>
      <w:r>
        <w:t xml:space="preserve"> IoT Features for NTN Applicability</w:t>
      </w:r>
    </w:p>
    <w:p w14:paraId="66F4A97A" w14:textId="05821239" w:rsidR="00C07236" w:rsidRPr="00520A14" w:rsidRDefault="00C07236" w:rsidP="00C07236">
      <w:r>
        <w:t>NB-IoT/eMTC systems evolved from Rel-13 until now up</w:t>
      </w:r>
      <w:r w:rsidR="0090155A">
        <w:t xml:space="preserve"> </w:t>
      </w:r>
      <w:r>
        <w:t>to Rel-16 with various features introduced focusing on enhancements for energy consumption, coverage and network operation aspects. Many of these features are not applicable</w:t>
      </w:r>
      <w:r w:rsidR="0004663C">
        <w:t xml:space="preserve"> for NR over terrestrial network</w:t>
      </w:r>
      <w:r>
        <w:t xml:space="preserve">. For some features the way the feature is implemented </w:t>
      </w:r>
      <w:r w:rsidR="00836D7D">
        <w:t xml:space="preserve">is </w:t>
      </w:r>
      <w:r>
        <w:t>different from the NR implementations. Hence we propose the study also identify and analyse the NTN applicability of NB-IoT</w:t>
      </w:r>
      <w:r w:rsidR="00836D7D">
        <w:t>/eMTC</w:t>
      </w:r>
      <w:r>
        <w:t xml:space="preserve"> specific features.</w:t>
      </w:r>
    </w:p>
    <w:p w14:paraId="531692FF" w14:textId="77777777" w:rsidR="00C07236" w:rsidRDefault="00C07236" w:rsidP="00C07236">
      <w:r>
        <w:t xml:space="preserve">The basic functionality for NB-IoT/eMTC devices introduced in Rel-13 are power saving and coverage enhancements. </w:t>
      </w:r>
    </w:p>
    <w:p w14:paraId="24122D23" w14:textId="58C56DC3" w:rsidR="00C07236" w:rsidRDefault="00C07236" w:rsidP="00C07236">
      <w:r>
        <w:t>For power saving, extended DRX and power saving functionality with UE entering into deep sleep mode without any network monitoring for long time was supported</w:t>
      </w:r>
      <w:r w:rsidR="00C760EA">
        <w:t xml:space="preserve"> (Power Save Mode)</w:t>
      </w:r>
      <w:r>
        <w:t>.  In addition</w:t>
      </w:r>
      <w:r w:rsidR="00C760EA">
        <w:t>,</w:t>
      </w:r>
      <w:r>
        <w:t xml:space="preserve"> the idle mode RRM measurements are further relaxed to reduce the power consumption.  </w:t>
      </w:r>
    </w:p>
    <w:p w14:paraId="6B1A6770" w14:textId="04F829BE" w:rsidR="00C07236" w:rsidRDefault="00C07236" w:rsidP="00C07236">
      <w:r>
        <w:lastRenderedPageBreak/>
        <w:t>Extended coverage is supported with blind physical layer transmissions for all the channels. For common channels such as PBCH and System Information maximum repetitions applicable for extended coverage are used. For other channels number of repetitions based on the coverage condition of the UE is applied with additional blind decoding attempts.  The maximum repetitions associated with each coverage level are configurable via system information. For connected mode operation, the number of repetitions are controlled via dedicated signalling. UE assistance information about coverage level may be required to fine tune the number of repetitions.</w:t>
      </w:r>
      <w:r w:rsidR="00B764FD">
        <w:t xml:space="preserve"> </w:t>
      </w:r>
      <w:r>
        <w:t xml:space="preserve">Further releases of NB-IoT/eMTC enhances the basic functionality to further improve the power saving, network efficiency and operational enhancements. </w:t>
      </w:r>
    </w:p>
    <w:p w14:paraId="18EDF4E9" w14:textId="5EACA7F3" w:rsidR="00887531" w:rsidRPr="003D4DBB" w:rsidRDefault="00422993" w:rsidP="003D4DBB">
      <w:r w:rsidRPr="003D4DBB">
        <w:t xml:space="preserve">In the following, we discuss some of the features, which </w:t>
      </w:r>
      <w:r w:rsidR="00461EFC" w:rsidRPr="003D4DBB">
        <w:t>may be beneficial in an NTN deployment.</w:t>
      </w:r>
    </w:p>
    <w:p w14:paraId="40311E44" w14:textId="23058B7C" w:rsidR="00577524" w:rsidRPr="00475B34" w:rsidRDefault="00577524" w:rsidP="003D4DBB">
      <w:pPr>
        <w:pStyle w:val="ListParagraph"/>
        <w:numPr>
          <w:ilvl w:val="0"/>
          <w:numId w:val="28"/>
        </w:numPr>
        <w:jc w:val="both"/>
      </w:pPr>
      <w:r w:rsidRPr="003D4DBB">
        <w:rPr>
          <w:rFonts w:ascii="Arial" w:hAnsi="Arial"/>
          <w:sz w:val="28"/>
        </w:rPr>
        <w:t>Group wake-up signal</w:t>
      </w:r>
    </w:p>
    <w:p w14:paraId="38A8F52F" w14:textId="66FAD830" w:rsidR="00577524" w:rsidRDefault="008D0E39" w:rsidP="00577524">
      <w:r>
        <w:t>The wake-up signal (WUS) was introduced for eMTC and NB-IoT in release 15. It enables the network to inform the UE</w:t>
      </w:r>
      <w:r w:rsidR="0041347B">
        <w:t xml:space="preserve">s in a cell whether or not to monitor one of more Paging Occasions (POs) following the WUS. </w:t>
      </w:r>
      <w:r w:rsidR="00472EF8">
        <w:t>The reason for introducing the feature is that t</w:t>
      </w:r>
      <w:r w:rsidR="00D7105D">
        <w:t>he monitoring for the sequence-based WUS is more energy efficient than monitoring for paging in the PO</w:t>
      </w:r>
      <w:r w:rsidR="00960B75">
        <w:t xml:space="preserve">. </w:t>
      </w:r>
      <w:r w:rsidR="00472EF8">
        <w:t xml:space="preserve">In release 16, the </w:t>
      </w:r>
      <w:r w:rsidR="00406CB7">
        <w:t xml:space="preserve">group-WUS (GWUS) was introduced, allowing the network to only trigger a subset (a group) of UEs in a cell to monitor the </w:t>
      </w:r>
      <w:r w:rsidR="00615DD0">
        <w:t xml:space="preserve">PO(s). This effectively reduces the false alarm rate, and considering the large NTN cell sizes, the GWUS </w:t>
      </w:r>
      <w:r w:rsidR="00FE4058">
        <w:t xml:space="preserve">may be </w:t>
      </w:r>
      <w:r w:rsidR="00E31FA1">
        <w:t>a useful feature for NTN.</w:t>
      </w:r>
    </w:p>
    <w:p w14:paraId="40449004" w14:textId="76FEDA1D" w:rsidR="00E31FA1" w:rsidRPr="00C17BE5" w:rsidRDefault="00E31FA1" w:rsidP="00577524">
      <w:pPr>
        <w:rPr>
          <w:b/>
          <w:bCs/>
        </w:rPr>
      </w:pPr>
      <w:r w:rsidRPr="00C17BE5">
        <w:rPr>
          <w:b/>
          <w:bCs/>
        </w:rPr>
        <w:t>Observation</w:t>
      </w:r>
      <w:r w:rsidR="00381862" w:rsidRPr="00C17BE5">
        <w:rPr>
          <w:b/>
          <w:bCs/>
        </w:rPr>
        <w:t xml:space="preserve"> 2</w:t>
      </w:r>
      <w:r w:rsidRPr="00C17BE5">
        <w:rPr>
          <w:b/>
          <w:bCs/>
        </w:rPr>
        <w:t>: The release 16 feature group wake-up signal for NB-IoT/eMTC is useful for NTN</w:t>
      </w:r>
      <w:r w:rsidR="00007788" w:rsidRPr="00C17BE5">
        <w:rPr>
          <w:b/>
          <w:bCs/>
        </w:rPr>
        <w:t>.</w:t>
      </w:r>
    </w:p>
    <w:p w14:paraId="7E518086" w14:textId="538A9BF6" w:rsidR="00E01CE2" w:rsidRDefault="00E01CE2" w:rsidP="00E01CE2">
      <w:r w:rsidRPr="003D4DBB">
        <w:t>One</w:t>
      </w:r>
      <w:r>
        <w:t xml:space="preserve"> issue related to GWUS</w:t>
      </w:r>
      <w:r w:rsidR="00A512FA">
        <w:t xml:space="preserve"> is that </w:t>
      </w:r>
      <w:r w:rsidR="00663453">
        <w:t xml:space="preserve">current specification defines </w:t>
      </w:r>
      <w:r w:rsidR="00A26404">
        <w:t xml:space="preserve">it is only applicable in the cell </w:t>
      </w:r>
      <w:r w:rsidR="003E7B3D">
        <w:t xml:space="preserve">where UE most recently entered RRC Idle. </w:t>
      </w:r>
      <w:r w:rsidR="00014AFD">
        <w:t xml:space="preserve">Since </w:t>
      </w:r>
      <w:r w:rsidR="000A37C7">
        <w:t xml:space="preserve">LEO deployments lead to fast changing cell coverage, </w:t>
      </w:r>
      <w:r w:rsidR="00777920">
        <w:t xml:space="preserve">this issue </w:t>
      </w:r>
      <w:r w:rsidR="009E0E47">
        <w:t xml:space="preserve">may need to be addressed to ensure </w:t>
      </w:r>
      <w:r w:rsidR="007C421C">
        <w:t>general applicability of GWUS.</w:t>
      </w:r>
    </w:p>
    <w:p w14:paraId="1B956BB0" w14:textId="1C32A0B4" w:rsidR="00007788" w:rsidRDefault="00B0153E" w:rsidP="00FE297F">
      <w:r>
        <w:t xml:space="preserve">Another aspect related to use of GWUS is that the UE may </w:t>
      </w:r>
      <w:r w:rsidR="00B51E0B">
        <w:t xml:space="preserve">decide not to utilize GNSS before the GWUS has indicated the UE has to monitor the </w:t>
      </w:r>
      <w:r w:rsidR="00D15E69">
        <w:t>PO</w:t>
      </w:r>
      <w:r w:rsidR="008948DC">
        <w:t xml:space="preserve">, or potentially not utilize GNSS before PO has indicated UE needs to initiate RRC connection. </w:t>
      </w:r>
      <w:r w:rsidR="00A90392">
        <w:t xml:space="preserve">Both scenarios </w:t>
      </w:r>
      <w:r w:rsidR="00C75D5E">
        <w:t>ma</w:t>
      </w:r>
      <w:r w:rsidR="009A3EC6">
        <w:t>y</w:t>
      </w:r>
      <w:r w:rsidR="00A90392">
        <w:t xml:space="preserve"> require </w:t>
      </w:r>
      <w:r w:rsidR="000041C2">
        <w:t xml:space="preserve">that network allocates </w:t>
      </w:r>
      <w:r w:rsidR="00C75D5E">
        <w:t xml:space="preserve">a </w:t>
      </w:r>
      <w:r w:rsidR="00B021DD" w:rsidRPr="003D4DBB">
        <w:t>“GNSS measurement gap”</w:t>
      </w:r>
      <w:r w:rsidR="00C75D5E">
        <w:t xml:space="preserve">, such that UE has time to complete the GNSS measurement before network repeats GWUS/paging, because </w:t>
      </w:r>
      <w:r w:rsidR="009A163B">
        <w:t>network may</w:t>
      </w:r>
      <w:r w:rsidR="00C75D5E">
        <w:t xml:space="preserve"> </w:t>
      </w:r>
      <w:r w:rsidR="00B021DD">
        <w:t>believe UE did not receive GWUS/paging, but in reality UE is just performing GNSS measurement.</w:t>
      </w:r>
    </w:p>
    <w:p w14:paraId="1508BA1F" w14:textId="3D57F494" w:rsidR="006C7EB0" w:rsidRPr="00C17BE5" w:rsidRDefault="006C7EB0" w:rsidP="006C7EB0">
      <w:pPr>
        <w:jc w:val="both"/>
        <w:rPr>
          <w:b/>
          <w:bCs/>
        </w:rPr>
      </w:pPr>
      <w:r w:rsidRPr="00C17BE5">
        <w:rPr>
          <w:b/>
          <w:bCs/>
        </w:rPr>
        <w:t>Proposal</w:t>
      </w:r>
      <w:r w:rsidR="00381862" w:rsidRPr="00C17BE5">
        <w:rPr>
          <w:b/>
          <w:bCs/>
        </w:rPr>
        <w:t xml:space="preserve"> 2</w:t>
      </w:r>
      <w:r w:rsidRPr="00C17BE5">
        <w:rPr>
          <w:b/>
          <w:bCs/>
        </w:rPr>
        <w:t>: RAN2 to consider use of Group Wake-Up Signal for NTN and further study relevant issues.</w:t>
      </w:r>
    </w:p>
    <w:p w14:paraId="1FE92D75" w14:textId="0F42E945" w:rsidR="00AF7040" w:rsidRPr="00475B34" w:rsidRDefault="00AF7040" w:rsidP="003D4DBB">
      <w:pPr>
        <w:pStyle w:val="ListParagraph"/>
        <w:numPr>
          <w:ilvl w:val="0"/>
          <w:numId w:val="28"/>
        </w:numPr>
        <w:jc w:val="both"/>
      </w:pPr>
      <w:r w:rsidRPr="003D4DBB">
        <w:rPr>
          <w:rFonts w:ascii="Arial" w:hAnsi="Arial"/>
          <w:sz w:val="28"/>
        </w:rPr>
        <w:t>Early data transmission</w:t>
      </w:r>
    </w:p>
    <w:p w14:paraId="14FBBA43" w14:textId="0B07126E" w:rsidR="00AF7040" w:rsidRDefault="00AF7040" w:rsidP="00AF7040">
      <w:r>
        <w:t xml:space="preserve">The early data transmission (EDT) feature was standardized for mobile-originated data in </w:t>
      </w:r>
      <w:r w:rsidR="00ED6796">
        <w:t xml:space="preserve">release 15 and for mobile-terminated data in release 16 for eMTC and NB-IoT. The feature </w:t>
      </w:r>
      <w:r w:rsidR="007F65FF">
        <w:t>enables (for mobile-originated data) the UE to transfer a small amount of data in msg3 of the Random Access procedure</w:t>
      </w:r>
      <w:r w:rsidR="00660A6F">
        <w:t xml:space="preserve">. If the transmission is successful, the UE will not move to RRC Connected mode, but return to </w:t>
      </w:r>
      <w:r w:rsidR="006F4831">
        <w:t>RRC Idle (</w:t>
      </w:r>
      <w:r w:rsidR="00660A6F">
        <w:t>sleep</w:t>
      </w:r>
      <w:r w:rsidR="006F4831">
        <w:t xml:space="preserve">). </w:t>
      </w:r>
      <w:r w:rsidR="0084472C">
        <w:t xml:space="preserve">The network is responsible for defining applicable transport block sizes and </w:t>
      </w:r>
      <w:r w:rsidR="00BC07DF">
        <w:t>number of repetitions to use – similar to configuration for Random Access.</w:t>
      </w:r>
    </w:p>
    <w:p w14:paraId="295AB744" w14:textId="38787494" w:rsidR="00BC07DF" w:rsidRDefault="00BC07DF" w:rsidP="00AF7040">
      <w:r>
        <w:t>The feature reduces the signalling overhead</w:t>
      </w:r>
      <w:r w:rsidR="00B23848">
        <w:t xml:space="preserve"> and the delay in transferring the small amount of data, and therefore also saves UE energy</w:t>
      </w:r>
      <w:r w:rsidR="00F8192B">
        <w:t xml:space="preserve"> and reduce the latency</w:t>
      </w:r>
      <w:r w:rsidR="00B23848">
        <w:t xml:space="preserve">. </w:t>
      </w:r>
    </w:p>
    <w:p w14:paraId="0AE1D7A4" w14:textId="5D4BE5BE" w:rsidR="0006561D" w:rsidRPr="00C17BE5" w:rsidRDefault="0006561D" w:rsidP="00AF7040">
      <w:pPr>
        <w:rPr>
          <w:b/>
          <w:bCs/>
        </w:rPr>
      </w:pPr>
      <w:r w:rsidRPr="00C17BE5">
        <w:rPr>
          <w:b/>
          <w:bCs/>
        </w:rPr>
        <w:t>Observation</w:t>
      </w:r>
      <w:r w:rsidR="00DE4A55" w:rsidRPr="00C17BE5">
        <w:rPr>
          <w:b/>
          <w:bCs/>
        </w:rPr>
        <w:t xml:space="preserve"> 3</w:t>
      </w:r>
      <w:r w:rsidRPr="00C17BE5">
        <w:rPr>
          <w:b/>
          <w:bCs/>
        </w:rPr>
        <w:t xml:space="preserve">: The early data transmission features of release 15 and 16 are </w:t>
      </w:r>
      <w:r w:rsidR="00362AEB" w:rsidRPr="00C17BE5">
        <w:rPr>
          <w:b/>
          <w:bCs/>
        </w:rPr>
        <w:t xml:space="preserve">beneficial </w:t>
      </w:r>
      <w:r w:rsidRPr="00C17BE5">
        <w:rPr>
          <w:b/>
          <w:bCs/>
        </w:rPr>
        <w:t>for NTN</w:t>
      </w:r>
      <w:r w:rsidR="00F8192B" w:rsidRPr="00C17BE5">
        <w:rPr>
          <w:b/>
          <w:bCs/>
        </w:rPr>
        <w:t xml:space="preserve"> to </w:t>
      </w:r>
      <w:r w:rsidR="002E3B21" w:rsidRPr="00C17BE5">
        <w:rPr>
          <w:b/>
          <w:bCs/>
        </w:rPr>
        <w:t>save UE energy and reduce latency</w:t>
      </w:r>
      <w:r w:rsidRPr="00C17BE5">
        <w:rPr>
          <w:b/>
          <w:bCs/>
        </w:rPr>
        <w:t>.</w:t>
      </w:r>
    </w:p>
    <w:p w14:paraId="27230606" w14:textId="77777777" w:rsidR="00CC0351" w:rsidRPr="003D4DBB" w:rsidRDefault="00CC0351" w:rsidP="00CC0351">
      <w:pPr>
        <w:pStyle w:val="ListParagraph"/>
        <w:numPr>
          <w:ilvl w:val="0"/>
          <w:numId w:val="29"/>
        </w:numPr>
        <w:rPr>
          <w:rFonts w:ascii="Arial" w:hAnsi="Arial" w:cs="Arial"/>
          <w:sz w:val="28"/>
          <w:szCs w:val="28"/>
        </w:rPr>
      </w:pPr>
      <w:r w:rsidRPr="003D4DBB">
        <w:rPr>
          <w:rFonts w:ascii="Arial" w:hAnsi="Arial" w:cs="Arial"/>
          <w:sz w:val="28"/>
          <w:szCs w:val="28"/>
        </w:rPr>
        <w:t>Preconfigured Uplink Resources</w:t>
      </w:r>
    </w:p>
    <w:p w14:paraId="12345C1A" w14:textId="687E6B77" w:rsidR="00A70F13" w:rsidRDefault="00340F9A" w:rsidP="009960A9">
      <w:pPr>
        <w:jc w:val="both"/>
      </w:pPr>
      <w:r w:rsidRPr="003D4DBB">
        <w:t xml:space="preserve">The </w:t>
      </w:r>
      <w:r>
        <w:t xml:space="preserve">preconfigured uplink resources (PUR) builds on the EDT concept, but </w:t>
      </w:r>
      <w:r w:rsidR="00434B68">
        <w:t>allows to skip the msg1 and msg2 steps of the Random Access procedure if the UE can confirm the</w:t>
      </w:r>
      <w:r w:rsidR="00353C71">
        <w:t xml:space="preserve"> serving cell is the same</w:t>
      </w:r>
      <w:r w:rsidR="006B4819">
        <w:t xml:space="preserve"> and optionally that</w:t>
      </w:r>
      <w:r w:rsidR="00434B68">
        <w:t xml:space="preserve"> Timing Advance is valid</w:t>
      </w:r>
      <w:r w:rsidR="006B4819">
        <w:t>/RSRP is within a certain range</w:t>
      </w:r>
      <w:r w:rsidR="004150B2">
        <w:t xml:space="preserve">, and instead directly initiate the data transmission using the PUR. </w:t>
      </w:r>
      <w:r w:rsidR="00066607">
        <w:t>The PUR is configured in a previous RRC</w:t>
      </w:r>
      <w:r w:rsidR="000D4890">
        <w:t xml:space="preserve"> connection and enables further potential energy savings compared to EDT.</w:t>
      </w:r>
      <w:r w:rsidR="002B0435">
        <w:t xml:space="preserve"> The feature applies to NB-IoT and eMTC.</w:t>
      </w:r>
      <w:r w:rsidR="000D4890">
        <w:t xml:space="preserve"> </w:t>
      </w:r>
      <w:r w:rsidR="004150B2">
        <w:t xml:space="preserve"> </w:t>
      </w:r>
    </w:p>
    <w:p w14:paraId="4332110C" w14:textId="11ABEE5B" w:rsidR="00685866" w:rsidRDefault="004B7BA4" w:rsidP="00FE297F">
      <w:pPr>
        <w:jc w:val="both"/>
      </w:pPr>
      <w:r>
        <w:t>In terms of the feature</w:t>
      </w:r>
      <w:r w:rsidR="00941A7C">
        <w:t>’</w:t>
      </w:r>
      <w:r>
        <w:t xml:space="preserve">s applicability in NTN, there are issues </w:t>
      </w:r>
      <w:r w:rsidR="00B85BC2">
        <w:t xml:space="preserve">related to the LEO deployments, where the serving cell may change frequently and radio conditions also </w:t>
      </w:r>
      <w:r w:rsidR="00211C3D">
        <w:t xml:space="preserve">vary fast. </w:t>
      </w:r>
      <w:r w:rsidR="003D114C">
        <w:t xml:space="preserve">Therefore, it may be necessary to </w:t>
      </w:r>
      <w:r w:rsidR="000E75A7">
        <w:t xml:space="preserve">study whether a PUR configuration can be applicable to other cells than the serving cell, which provided it. Furthermore, </w:t>
      </w:r>
      <w:r w:rsidR="00057BFF">
        <w:t xml:space="preserve">since PUR usually requires the UE validates the TA, it may be beneficial, from an energy saving perspective, to consider how the UE can validate the TA. </w:t>
      </w:r>
      <w:r w:rsidR="002136AA">
        <w:t xml:space="preserve">The study item assumes the UE is equipped with GNSS, but </w:t>
      </w:r>
      <w:r w:rsidR="001402CB">
        <w:t>other options shall not be precluded for PUR TA validation</w:t>
      </w:r>
      <w:r w:rsidR="00270503">
        <w:t>.</w:t>
      </w:r>
      <w:r w:rsidR="009D23BB">
        <w:t xml:space="preserve"> </w:t>
      </w:r>
      <w:r w:rsidR="00685866">
        <w:t xml:space="preserve">Due to the varying radio conditions, </w:t>
      </w:r>
      <w:r w:rsidR="00270503">
        <w:t>the original PUR configuration may also not suit current radio conditions very well.</w:t>
      </w:r>
      <w:r w:rsidR="008F5D90">
        <w:t xml:space="preserve"> The issues of TA validation and PUR configuration require further study.</w:t>
      </w:r>
      <w:r w:rsidR="00020CFF">
        <w:t xml:space="preserve"> </w:t>
      </w:r>
    </w:p>
    <w:p w14:paraId="6D711753" w14:textId="488966AB" w:rsidR="00941A7C" w:rsidRPr="00C17BE5" w:rsidRDefault="00941A7C" w:rsidP="009960A9">
      <w:pPr>
        <w:jc w:val="both"/>
        <w:rPr>
          <w:b/>
          <w:bCs/>
        </w:rPr>
      </w:pPr>
      <w:r w:rsidRPr="00C17BE5">
        <w:rPr>
          <w:b/>
          <w:bCs/>
        </w:rPr>
        <w:lastRenderedPageBreak/>
        <w:t>Observation</w:t>
      </w:r>
      <w:r w:rsidR="00CC0351" w:rsidRPr="00C17BE5">
        <w:rPr>
          <w:b/>
          <w:bCs/>
        </w:rPr>
        <w:t xml:space="preserve"> 4</w:t>
      </w:r>
      <w:r w:rsidRPr="00C17BE5">
        <w:rPr>
          <w:b/>
          <w:bCs/>
        </w:rPr>
        <w:t>: The preconfigured uplink resource</w:t>
      </w:r>
      <w:r w:rsidR="00374582" w:rsidRPr="00C17BE5">
        <w:rPr>
          <w:b/>
          <w:bCs/>
        </w:rPr>
        <w:t xml:space="preserve">s feature of release 16 is </w:t>
      </w:r>
      <w:r w:rsidR="00E749A6" w:rsidRPr="00C17BE5">
        <w:rPr>
          <w:b/>
          <w:bCs/>
        </w:rPr>
        <w:t>beneficial</w:t>
      </w:r>
      <w:r w:rsidR="00374582" w:rsidRPr="00C17BE5">
        <w:rPr>
          <w:b/>
          <w:bCs/>
        </w:rPr>
        <w:t xml:space="preserve"> for NTN, but requires further study.</w:t>
      </w:r>
    </w:p>
    <w:p w14:paraId="02D384BC" w14:textId="1A5A0BB2" w:rsidR="00894DBD" w:rsidRPr="00C17BE5" w:rsidRDefault="00894DBD" w:rsidP="009960A9">
      <w:pPr>
        <w:jc w:val="both"/>
        <w:rPr>
          <w:b/>
          <w:bCs/>
        </w:rPr>
      </w:pPr>
      <w:r w:rsidRPr="00C17BE5">
        <w:rPr>
          <w:b/>
          <w:bCs/>
        </w:rPr>
        <w:t>Proposal</w:t>
      </w:r>
      <w:r w:rsidR="00CB60E4" w:rsidRPr="00C17BE5">
        <w:rPr>
          <w:b/>
          <w:bCs/>
        </w:rPr>
        <w:t xml:space="preserve"> 3</w:t>
      </w:r>
      <w:r w:rsidRPr="00C17BE5">
        <w:rPr>
          <w:b/>
          <w:bCs/>
        </w:rPr>
        <w:t xml:space="preserve">: RAN2 to consider use of Preconfigured Uplink Resources for NTN and further study </w:t>
      </w:r>
      <w:r w:rsidR="006C7EB0" w:rsidRPr="00C17BE5">
        <w:rPr>
          <w:b/>
          <w:bCs/>
        </w:rPr>
        <w:t>relevant issues.</w:t>
      </w:r>
    </w:p>
    <w:p w14:paraId="4A9C7C78" w14:textId="3AB4C016" w:rsidR="006376A3" w:rsidRPr="003D4DBB" w:rsidRDefault="006376A3" w:rsidP="003D4DBB">
      <w:pPr>
        <w:pStyle w:val="ListParagraph"/>
        <w:numPr>
          <w:ilvl w:val="0"/>
          <w:numId w:val="29"/>
        </w:numPr>
        <w:rPr>
          <w:rFonts w:ascii="Arial" w:hAnsi="Arial" w:cs="Arial"/>
          <w:sz w:val="28"/>
          <w:szCs w:val="28"/>
        </w:rPr>
      </w:pPr>
      <w:r w:rsidRPr="003D4DBB">
        <w:rPr>
          <w:rFonts w:ascii="Arial" w:hAnsi="Arial" w:cs="Arial"/>
          <w:sz w:val="28"/>
          <w:szCs w:val="28"/>
        </w:rPr>
        <w:t xml:space="preserve">NR </w:t>
      </w:r>
      <w:r w:rsidR="00303EE9" w:rsidRPr="003D4DBB">
        <w:rPr>
          <w:rFonts w:ascii="Arial" w:hAnsi="Arial" w:cs="Arial"/>
          <w:sz w:val="28"/>
          <w:szCs w:val="28"/>
        </w:rPr>
        <w:t>c</w:t>
      </w:r>
      <w:r w:rsidRPr="003D4DBB">
        <w:rPr>
          <w:rFonts w:ascii="Arial" w:hAnsi="Arial" w:cs="Arial"/>
          <w:sz w:val="28"/>
          <w:szCs w:val="28"/>
        </w:rPr>
        <w:t xml:space="preserve">o-existence </w:t>
      </w:r>
      <w:r w:rsidR="00303EE9" w:rsidRPr="003D4DBB">
        <w:rPr>
          <w:rFonts w:ascii="Arial" w:hAnsi="Arial" w:cs="Arial"/>
          <w:sz w:val="28"/>
          <w:szCs w:val="28"/>
        </w:rPr>
        <w:t>enhancement</w:t>
      </w:r>
      <w:r w:rsidR="00736A5F" w:rsidRPr="00CB60E4">
        <w:rPr>
          <w:rFonts w:ascii="Arial" w:hAnsi="Arial" w:cs="Arial"/>
          <w:sz w:val="28"/>
          <w:szCs w:val="28"/>
        </w:rPr>
        <w:t xml:space="preserve"> &amp; eMTC standalone deployment</w:t>
      </w:r>
    </w:p>
    <w:p w14:paraId="4238CA13" w14:textId="4E02ADA3" w:rsidR="00303EE9" w:rsidRDefault="00303EE9" w:rsidP="009960A9">
      <w:pPr>
        <w:jc w:val="both"/>
      </w:pPr>
      <w:r w:rsidRPr="003D4DBB">
        <w:t xml:space="preserve">The </w:t>
      </w:r>
      <w:r>
        <w:t xml:space="preserve">NR co-existence enhancement was defined for </w:t>
      </w:r>
      <w:r w:rsidR="002B0435">
        <w:t xml:space="preserve">NB-IoT and eMTC in release 16. </w:t>
      </w:r>
      <w:r w:rsidR="00D85A12">
        <w:t>The feature facilitates in-band deployment of the IoT technologies in NR</w:t>
      </w:r>
      <w:r w:rsidR="00081F7B">
        <w:t xml:space="preserve"> by resource block alignment and/or use of guard bands</w:t>
      </w:r>
      <w:r w:rsidR="00D85A12">
        <w:t xml:space="preserve">. Since </w:t>
      </w:r>
      <w:r w:rsidR="000D4D25">
        <w:t xml:space="preserve">NR is likely to be </w:t>
      </w:r>
      <w:r w:rsidR="00F53B17">
        <w:t>deployed as a non-terrestrial network</w:t>
      </w:r>
      <w:r w:rsidR="00B22DB1">
        <w:t xml:space="preserve"> it seems useful to facilitate in-band deployment of NB-IoT and/or eMTC instead of deploying a new, separate constellation.</w:t>
      </w:r>
    </w:p>
    <w:p w14:paraId="57CC187C" w14:textId="4DCB37D4" w:rsidR="00CE60B5" w:rsidRPr="00E10F2D" w:rsidRDefault="00CE60B5" w:rsidP="009960A9">
      <w:pPr>
        <w:jc w:val="both"/>
        <w:rPr>
          <w:b/>
          <w:bCs/>
        </w:rPr>
      </w:pPr>
      <w:r w:rsidRPr="00E10F2D">
        <w:rPr>
          <w:b/>
          <w:bCs/>
        </w:rPr>
        <w:t>Observation</w:t>
      </w:r>
      <w:r w:rsidR="00DF30BA" w:rsidRPr="00E10F2D">
        <w:rPr>
          <w:b/>
          <w:bCs/>
        </w:rPr>
        <w:t xml:space="preserve"> 5</w:t>
      </w:r>
      <w:r w:rsidRPr="00E10F2D">
        <w:rPr>
          <w:b/>
          <w:bCs/>
        </w:rPr>
        <w:t>: Co-existence between NR and NB-IoT/eMTC is useful for NTN</w:t>
      </w:r>
      <w:r w:rsidR="00E10F2D" w:rsidRPr="00E10F2D">
        <w:rPr>
          <w:b/>
          <w:bCs/>
        </w:rPr>
        <w:t xml:space="preserve"> </w:t>
      </w:r>
      <w:r w:rsidR="00E10F2D" w:rsidRPr="00E10F2D">
        <w:rPr>
          <w:b/>
          <w:bCs/>
        </w:rPr>
        <w:t>to facilitate in-band deployment of NB-IoT and/or eMTC</w:t>
      </w:r>
      <w:r w:rsidRPr="00E10F2D">
        <w:rPr>
          <w:b/>
          <w:bCs/>
        </w:rPr>
        <w:t>.</w:t>
      </w:r>
    </w:p>
    <w:p w14:paraId="63B60FBC" w14:textId="46CDE7D1" w:rsidR="008B402C" w:rsidRDefault="00762895" w:rsidP="009960A9">
      <w:pPr>
        <w:jc w:val="both"/>
      </w:pPr>
      <w:r>
        <w:t>In addition, the standalone deployment feature for eMTC (release 16) is essent</w:t>
      </w:r>
      <w:r w:rsidR="005E3AAA">
        <w:t xml:space="preserve">ial for some NTN deployments, because LTE is not likely to be available. The feature enables eMTC to utilize </w:t>
      </w:r>
      <w:r w:rsidR="00736A5F">
        <w:t>the previously reserved LTE control channel resources.</w:t>
      </w:r>
    </w:p>
    <w:p w14:paraId="644328E5" w14:textId="42117461" w:rsidR="00736A5F" w:rsidRPr="00E10F2D" w:rsidRDefault="00736A5F" w:rsidP="009960A9">
      <w:pPr>
        <w:jc w:val="both"/>
        <w:rPr>
          <w:b/>
          <w:bCs/>
        </w:rPr>
      </w:pPr>
      <w:r w:rsidRPr="00E10F2D">
        <w:rPr>
          <w:b/>
          <w:bCs/>
        </w:rPr>
        <w:t>Observation</w:t>
      </w:r>
      <w:r w:rsidR="00DF30BA" w:rsidRPr="00E10F2D">
        <w:rPr>
          <w:b/>
          <w:bCs/>
        </w:rPr>
        <w:t xml:space="preserve"> 6</w:t>
      </w:r>
      <w:r w:rsidRPr="00E10F2D">
        <w:rPr>
          <w:b/>
          <w:bCs/>
        </w:rPr>
        <w:t xml:space="preserve">: </w:t>
      </w:r>
      <w:r w:rsidR="00AF083E" w:rsidRPr="00E10F2D">
        <w:rPr>
          <w:b/>
          <w:bCs/>
        </w:rPr>
        <w:t>eMTC standalone deployment feature is useful for NTN</w:t>
      </w:r>
      <w:r w:rsidR="00E10F2D" w:rsidRPr="00E10F2D">
        <w:rPr>
          <w:b/>
          <w:bCs/>
        </w:rPr>
        <w:t xml:space="preserve"> </w:t>
      </w:r>
      <w:r w:rsidR="00E10F2D" w:rsidRPr="00E10F2D">
        <w:rPr>
          <w:b/>
          <w:bCs/>
        </w:rPr>
        <w:t>to facilitate</w:t>
      </w:r>
      <w:r w:rsidR="00E10F2D" w:rsidRPr="00E10F2D">
        <w:rPr>
          <w:b/>
          <w:bCs/>
        </w:rPr>
        <w:t xml:space="preserve"> eMTC </w:t>
      </w:r>
      <w:r w:rsidR="00E10F2D" w:rsidRPr="00E10F2D">
        <w:rPr>
          <w:b/>
          <w:bCs/>
        </w:rPr>
        <w:t>standalone deployment</w:t>
      </w:r>
      <w:r w:rsidR="00AF083E" w:rsidRPr="00E10F2D">
        <w:rPr>
          <w:b/>
          <w:bCs/>
        </w:rPr>
        <w:t>.</w:t>
      </w:r>
    </w:p>
    <w:p w14:paraId="403507D9" w14:textId="77777777" w:rsidR="009E201B" w:rsidRPr="003D4DBB" w:rsidRDefault="008B402C" w:rsidP="003D4DBB">
      <w:pPr>
        <w:pStyle w:val="ListParagraph"/>
        <w:numPr>
          <w:ilvl w:val="0"/>
          <w:numId w:val="29"/>
        </w:numPr>
        <w:rPr>
          <w:rFonts w:ascii="Arial" w:hAnsi="Arial" w:cs="Arial"/>
          <w:sz w:val="28"/>
          <w:szCs w:val="28"/>
        </w:rPr>
      </w:pPr>
      <w:r w:rsidRPr="003D4DBB">
        <w:rPr>
          <w:rFonts w:ascii="Arial" w:hAnsi="Arial" w:cs="Arial"/>
          <w:sz w:val="28"/>
          <w:szCs w:val="28"/>
        </w:rPr>
        <w:t xml:space="preserve">Sub-PRB allocation in UL for eMTC </w:t>
      </w:r>
    </w:p>
    <w:p w14:paraId="304EB5BC" w14:textId="7A319D3F" w:rsidR="009E201B" w:rsidRDefault="009E201B" w:rsidP="009E201B">
      <w:pPr>
        <w:jc w:val="both"/>
      </w:pPr>
      <w:r>
        <w:t>Release 15 enabled eMTC to use 3 or 6 subcarriers in uplink</w:t>
      </w:r>
      <w:r w:rsidR="005E1B84">
        <w:t xml:space="preserve"> instead of a full PRB (12 subcarriers). </w:t>
      </w:r>
      <w:r w:rsidR="002F607A">
        <w:t xml:space="preserve">RAN1 link budget evaluation assumptions already include this feature and </w:t>
      </w:r>
      <w:r w:rsidR="002F607A" w:rsidRPr="007A261E">
        <w:t>results</w:t>
      </w:r>
      <w:r w:rsidR="002F607A">
        <w:t xml:space="preserve"> demonstrate </w:t>
      </w:r>
      <w:r w:rsidR="0093141B">
        <w:t>how it improves the link budget</w:t>
      </w:r>
      <w:r w:rsidR="009C0B9B">
        <w:t xml:space="preserve"> </w:t>
      </w:r>
      <w:r w:rsidR="009C0B9B">
        <w:fldChar w:fldCharType="begin"/>
      </w:r>
      <w:r w:rsidR="009C0B9B">
        <w:instrText xml:space="preserve"> REF _Ref67467983 \r \h </w:instrText>
      </w:r>
      <w:r w:rsidR="009C0B9B">
        <w:fldChar w:fldCharType="separate"/>
      </w:r>
      <w:r w:rsidR="009C0B9B">
        <w:t>[</w:t>
      </w:r>
      <w:r w:rsidR="00E10F2D">
        <w:t>5</w:t>
      </w:r>
      <w:r w:rsidR="009C0B9B">
        <w:t>]</w:t>
      </w:r>
      <w:r w:rsidR="009C0B9B">
        <w:fldChar w:fldCharType="end"/>
      </w:r>
      <w:r w:rsidR="0093141B">
        <w:t>.</w:t>
      </w:r>
    </w:p>
    <w:p w14:paraId="64C13DF2" w14:textId="5ECF9836" w:rsidR="00944503" w:rsidRPr="00944503" w:rsidRDefault="005D44DA" w:rsidP="009E201B">
      <w:pPr>
        <w:jc w:val="both"/>
        <w:rPr>
          <w:rFonts w:hint="eastAsia"/>
          <w:b/>
          <w:bCs/>
          <w:lang w:eastAsia="zh-CN"/>
        </w:rPr>
      </w:pPr>
      <w:r>
        <w:rPr>
          <w:b/>
          <w:bCs/>
        </w:rPr>
        <w:t>Proposal 4</w:t>
      </w:r>
      <w:r w:rsidR="00F11561" w:rsidRPr="00E10F2D">
        <w:rPr>
          <w:b/>
          <w:bCs/>
        </w:rPr>
        <w:t xml:space="preserve">: </w:t>
      </w:r>
      <w:r w:rsidR="00944503" w:rsidRPr="00944503">
        <w:rPr>
          <w:b/>
          <w:bCs/>
          <w:lang w:eastAsia="zh-CN"/>
        </w:rPr>
        <w:t>Depending on the RAN1 link budget evaluation</w:t>
      </w:r>
      <w:r w:rsidR="00944503">
        <w:rPr>
          <w:b/>
          <w:bCs/>
          <w:lang w:eastAsia="zh-CN"/>
        </w:rPr>
        <w:t xml:space="preserve">, </w:t>
      </w:r>
      <w:r w:rsidR="00944503" w:rsidRPr="00944503">
        <w:rPr>
          <w:b/>
          <w:bCs/>
          <w:lang w:eastAsia="zh-CN"/>
        </w:rPr>
        <w:t xml:space="preserve">sub-PRBs </w:t>
      </w:r>
      <w:r w:rsidR="00944503">
        <w:rPr>
          <w:b/>
          <w:bCs/>
          <w:lang w:eastAsia="zh-CN"/>
        </w:rPr>
        <w:t xml:space="preserve">allocation </w:t>
      </w:r>
      <w:r w:rsidR="00944503" w:rsidRPr="00944503">
        <w:rPr>
          <w:b/>
          <w:bCs/>
          <w:lang w:eastAsia="zh-CN"/>
        </w:rPr>
        <w:t>in UL for eMTC could be considered for NTN.</w:t>
      </w:r>
    </w:p>
    <w:p w14:paraId="0E9713ED" w14:textId="52E7DC19" w:rsidR="00AF166A" w:rsidRPr="003D4DBB" w:rsidRDefault="00E56AC6" w:rsidP="003D4DBB">
      <w:pPr>
        <w:pStyle w:val="ListParagraph"/>
        <w:numPr>
          <w:ilvl w:val="0"/>
          <w:numId w:val="29"/>
        </w:numPr>
        <w:rPr>
          <w:rFonts w:ascii="Arial" w:hAnsi="Arial" w:cs="Arial"/>
          <w:sz w:val="28"/>
          <w:szCs w:val="28"/>
        </w:rPr>
      </w:pPr>
      <w:r w:rsidRPr="003D4DBB">
        <w:rPr>
          <w:rFonts w:ascii="Arial" w:hAnsi="Arial" w:cs="Arial"/>
          <w:sz w:val="28"/>
          <w:szCs w:val="28"/>
        </w:rPr>
        <w:t>Non-anchor carrier</w:t>
      </w:r>
      <w:r w:rsidR="00AF166A" w:rsidRPr="003D4DBB">
        <w:rPr>
          <w:rFonts w:ascii="Arial" w:hAnsi="Arial" w:cs="Arial"/>
          <w:sz w:val="28"/>
          <w:szCs w:val="28"/>
        </w:rPr>
        <w:t xml:space="preserve"> operation</w:t>
      </w:r>
      <w:r w:rsidR="000878C7" w:rsidRPr="00362AEB">
        <w:rPr>
          <w:rFonts w:ascii="Arial" w:hAnsi="Arial" w:cs="Arial"/>
          <w:sz w:val="28"/>
          <w:szCs w:val="28"/>
        </w:rPr>
        <w:t xml:space="preserve"> in NB-IoT</w:t>
      </w:r>
    </w:p>
    <w:p w14:paraId="069A717D" w14:textId="4339F0EC" w:rsidR="00707029" w:rsidRDefault="00707029" w:rsidP="00F11561">
      <w:pPr>
        <w:jc w:val="both"/>
      </w:pPr>
      <w:r>
        <w:t xml:space="preserve">In release 14 the use of non-anchor carrier operation was introduced for NB-IoT. </w:t>
      </w:r>
      <w:r w:rsidR="00AD4C50" w:rsidRPr="00AD4C50">
        <w:t>As the NTN cell coverage is potentially several times larger than terrestrial coverage, the device density per cell is expected to be higher in NTN cells.  In such cases, single carrier operation is not sufficient to handle the device density of NTN cell. Hence multi-carrier operation with non-anchor carriers is essential for NB-IoT over NTN</w:t>
      </w:r>
      <w:r w:rsidR="00AD4C50">
        <w:t xml:space="preserve">. Additionally, </w:t>
      </w:r>
      <w:r w:rsidR="00E970B9">
        <w:t>i</w:t>
      </w:r>
      <w:r>
        <w:t>t specifically allows</w:t>
      </w:r>
      <w:r w:rsidRPr="00651F0E">
        <w:rPr>
          <w:rFonts w:eastAsia="Calibri"/>
        </w:rPr>
        <w:t xml:space="preserve"> for </w:t>
      </w:r>
      <w:r w:rsidR="00E56AC6" w:rsidRPr="00651F0E">
        <w:rPr>
          <w:rFonts w:eastAsia="Calibri"/>
        </w:rPr>
        <w:t>paging</w:t>
      </w:r>
      <w:r>
        <w:t xml:space="preserve"> and random access on non-anchor carriers. Considering the large cell sizes in NTN it is beneficial to obtain additional paging capacity and PRACH capacity by use of additional carriers.</w:t>
      </w:r>
    </w:p>
    <w:p w14:paraId="555DA0E2" w14:textId="128703E5" w:rsidR="00C71E72" w:rsidRPr="00C71E72" w:rsidRDefault="00C71E72" w:rsidP="00FE297F">
      <w:pPr>
        <w:jc w:val="both"/>
        <w:rPr>
          <w:rFonts w:eastAsia="Calibri"/>
          <w:b/>
          <w:bCs/>
        </w:rPr>
      </w:pPr>
      <w:r w:rsidRPr="00C71E72">
        <w:rPr>
          <w:rFonts w:eastAsia="Calibri"/>
          <w:b/>
          <w:bCs/>
        </w:rPr>
        <w:t xml:space="preserve">Observation </w:t>
      </w:r>
      <w:r>
        <w:rPr>
          <w:rFonts w:eastAsia="Calibri"/>
          <w:b/>
          <w:bCs/>
        </w:rPr>
        <w:t>7</w:t>
      </w:r>
      <w:r w:rsidRPr="00C71E72">
        <w:rPr>
          <w:rFonts w:eastAsia="Calibri"/>
          <w:b/>
          <w:bCs/>
        </w:rPr>
        <w:t>: non-anchor carrier operation is helpful to improve capacity of NB-IoT for NTN.</w:t>
      </w:r>
    </w:p>
    <w:p w14:paraId="56C7C82D" w14:textId="7C1EE51D" w:rsidR="00D46F47" w:rsidRPr="00362AEB" w:rsidRDefault="000878C7" w:rsidP="003D4DBB">
      <w:pPr>
        <w:pStyle w:val="ListParagraph"/>
        <w:numPr>
          <w:ilvl w:val="0"/>
          <w:numId w:val="29"/>
        </w:numPr>
        <w:rPr>
          <w:rFonts w:ascii="Arial" w:hAnsi="Arial" w:cs="Arial"/>
          <w:sz w:val="28"/>
          <w:szCs w:val="28"/>
        </w:rPr>
      </w:pPr>
      <w:r w:rsidRPr="003D4DBB">
        <w:rPr>
          <w:rFonts w:ascii="Arial" w:hAnsi="Arial" w:cs="Arial"/>
          <w:sz w:val="28"/>
          <w:szCs w:val="28"/>
        </w:rPr>
        <w:t>Dedicated scheduling request for NB-IoT</w:t>
      </w:r>
    </w:p>
    <w:p w14:paraId="1923AF59" w14:textId="6F47BADB" w:rsidR="000878C7" w:rsidRDefault="000878C7" w:rsidP="00F11561">
      <w:pPr>
        <w:jc w:val="both"/>
      </w:pPr>
      <w:r>
        <w:t xml:space="preserve">In release </w:t>
      </w:r>
      <w:r w:rsidR="00632CEA">
        <w:t xml:space="preserve">15, the use of dedicated scheduling request for NB-IoT was introduced. Prior to that, the UE had to use </w:t>
      </w:r>
      <w:r w:rsidR="00E31EC6">
        <w:t>random access to request uplink resources to send a buffer status report</w:t>
      </w:r>
      <w:r w:rsidR="0009514D">
        <w:t xml:space="preserve"> (BSR)</w:t>
      </w:r>
      <w:r w:rsidR="00E31EC6">
        <w:t xml:space="preserve">. With the new feature, the UE may piggyback </w:t>
      </w:r>
      <w:r w:rsidR="000A39D3">
        <w:t>a scheduling request in HARQ ACK/NACK feedback. This reduces signalling overhead and latency, which also leads to improved UE battery life.</w:t>
      </w:r>
    </w:p>
    <w:p w14:paraId="354D021A" w14:textId="0A539E74" w:rsidR="00990A48" w:rsidRPr="00FE790A" w:rsidRDefault="00990A48" w:rsidP="00F11561">
      <w:pPr>
        <w:jc w:val="both"/>
        <w:rPr>
          <w:b/>
          <w:bCs/>
        </w:rPr>
      </w:pPr>
      <w:r w:rsidRPr="00FE790A">
        <w:rPr>
          <w:b/>
          <w:bCs/>
        </w:rPr>
        <w:t>Observation</w:t>
      </w:r>
      <w:r w:rsidR="00362AEB" w:rsidRPr="00FE790A">
        <w:rPr>
          <w:b/>
          <w:bCs/>
        </w:rPr>
        <w:t xml:space="preserve"> </w:t>
      </w:r>
      <w:r w:rsidR="00A34070" w:rsidRPr="00FE790A">
        <w:rPr>
          <w:b/>
          <w:bCs/>
        </w:rPr>
        <w:t>8</w:t>
      </w:r>
      <w:r w:rsidRPr="00FE790A">
        <w:rPr>
          <w:b/>
          <w:bCs/>
        </w:rPr>
        <w:t>: dedicated scheduling request for NB-IoT is useful for NTN.</w:t>
      </w:r>
    </w:p>
    <w:p w14:paraId="133A09CF" w14:textId="20DC5AEA" w:rsidR="000A39D3" w:rsidRDefault="00F76427" w:rsidP="00FE297F">
      <w:pPr>
        <w:jc w:val="both"/>
      </w:pPr>
      <w:r w:rsidRPr="00F76427">
        <w:t xml:space="preserve">RAN1 is studying to support HARQ </w:t>
      </w:r>
      <w:r w:rsidR="00D7510B">
        <w:t xml:space="preserve">feedback </w:t>
      </w:r>
      <w:r w:rsidRPr="00F76427">
        <w:t>disabling for IoT over NTN. If HARQ feedback disabling is supported, there will be issue on SR transmission which is piggyback with HARQ ACK/NACK since there is no HARQ feedback</w:t>
      </w:r>
      <w:r w:rsidR="00C01DD5">
        <w:t xml:space="preserve"> anymore.</w:t>
      </w:r>
    </w:p>
    <w:p w14:paraId="452C5A2B" w14:textId="23EDA00C" w:rsidR="00C01DD5" w:rsidRPr="00FE790A" w:rsidRDefault="00C01DD5" w:rsidP="00C01DD5">
      <w:pPr>
        <w:jc w:val="both"/>
        <w:rPr>
          <w:b/>
          <w:bCs/>
        </w:rPr>
      </w:pPr>
      <w:r w:rsidRPr="00FE790A">
        <w:rPr>
          <w:b/>
          <w:bCs/>
        </w:rPr>
        <w:t xml:space="preserve">Proposal </w:t>
      </w:r>
      <w:r w:rsidR="00A34070" w:rsidRPr="00FE790A">
        <w:rPr>
          <w:b/>
          <w:bCs/>
        </w:rPr>
        <w:t>5</w:t>
      </w:r>
      <w:r w:rsidRPr="00FE790A">
        <w:rPr>
          <w:b/>
          <w:bCs/>
        </w:rPr>
        <w:t xml:space="preserve">: RAN2 to </w:t>
      </w:r>
      <w:r w:rsidR="001435D8" w:rsidRPr="00FE790A">
        <w:rPr>
          <w:b/>
          <w:bCs/>
        </w:rPr>
        <w:t>study</w:t>
      </w:r>
      <w:r w:rsidRPr="00FE790A">
        <w:rPr>
          <w:b/>
          <w:bCs/>
        </w:rPr>
        <w:t xml:space="preserve"> </w:t>
      </w:r>
      <w:r w:rsidR="00377057" w:rsidRPr="00FE790A">
        <w:rPr>
          <w:b/>
          <w:bCs/>
        </w:rPr>
        <w:t xml:space="preserve">dedicated scheduling </w:t>
      </w:r>
      <w:r w:rsidR="005531F8" w:rsidRPr="00FE790A">
        <w:rPr>
          <w:b/>
          <w:bCs/>
        </w:rPr>
        <w:t>request</w:t>
      </w:r>
      <w:r w:rsidR="00377057" w:rsidRPr="00FE790A">
        <w:rPr>
          <w:b/>
          <w:bCs/>
        </w:rPr>
        <w:t xml:space="preserve"> for NB-IoT with </w:t>
      </w:r>
      <w:r w:rsidR="005531F8" w:rsidRPr="00FE790A">
        <w:rPr>
          <w:b/>
          <w:bCs/>
        </w:rPr>
        <w:t>HARQ feedback disabled</w:t>
      </w:r>
      <w:r w:rsidRPr="00FE790A">
        <w:rPr>
          <w:b/>
          <w:bCs/>
        </w:rPr>
        <w:t>.</w:t>
      </w:r>
    </w:p>
    <w:p w14:paraId="5FF2457F" w14:textId="47C96AA5" w:rsidR="00A209D6" w:rsidRPr="006E13D1" w:rsidRDefault="006D2815" w:rsidP="00A209D6">
      <w:pPr>
        <w:pStyle w:val="Heading1"/>
      </w:pPr>
      <w:r>
        <w:t>3</w:t>
      </w:r>
      <w:r w:rsidR="00A209D6" w:rsidRPr="006E13D1">
        <w:tab/>
      </w:r>
      <w:r w:rsidR="008C3057">
        <w:t>Conclusion</w:t>
      </w:r>
    </w:p>
    <w:p w14:paraId="6DCFB533" w14:textId="19CB55E5" w:rsidR="0062123D" w:rsidRDefault="0062123D" w:rsidP="00BB2426">
      <w:r w:rsidRPr="0062123D">
        <w:t>In section 2 we made the following observations:</w:t>
      </w:r>
    </w:p>
    <w:p w14:paraId="3B0EDB84" w14:textId="77777777" w:rsidR="00591BDF" w:rsidRPr="00A31FAF" w:rsidRDefault="00591BDF" w:rsidP="00591BDF">
      <w:pPr>
        <w:rPr>
          <w:b/>
          <w:bCs/>
        </w:rPr>
      </w:pPr>
      <w:r w:rsidRPr="00A31FAF">
        <w:rPr>
          <w:b/>
          <w:bCs/>
        </w:rPr>
        <w:t>Observation</w:t>
      </w:r>
      <w:r>
        <w:rPr>
          <w:b/>
          <w:bCs/>
        </w:rPr>
        <w:t xml:space="preserve"> 1</w:t>
      </w:r>
      <w:r w:rsidRPr="00A31FAF">
        <w:rPr>
          <w:b/>
          <w:bCs/>
        </w:rPr>
        <w:t>: NTN cell mobility will have significant impact on energy consumption for eDRX operation due to increased system information re-acquisition.</w:t>
      </w:r>
    </w:p>
    <w:p w14:paraId="44081AEA" w14:textId="77777777" w:rsidR="00591BDF" w:rsidRPr="00C17BE5" w:rsidRDefault="00591BDF" w:rsidP="00591BDF">
      <w:pPr>
        <w:rPr>
          <w:b/>
          <w:bCs/>
        </w:rPr>
      </w:pPr>
      <w:r w:rsidRPr="00C17BE5">
        <w:rPr>
          <w:b/>
          <w:bCs/>
        </w:rPr>
        <w:lastRenderedPageBreak/>
        <w:t>Observation 2: The release 16 feature group wake-up signal for NB-IoT/eMTC is useful for NTN.</w:t>
      </w:r>
    </w:p>
    <w:p w14:paraId="05FD532F" w14:textId="77777777" w:rsidR="00591BDF" w:rsidRPr="00C17BE5" w:rsidRDefault="00591BDF" w:rsidP="00591BDF">
      <w:pPr>
        <w:rPr>
          <w:b/>
          <w:bCs/>
        </w:rPr>
      </w:pPr>
      <w:r w:rsidRPr="00C17BE5">
        <w:rPr>
          <w:b/>
          <w:bCs/>
        </w:rPr>
        <w:t>Observation 3: The early data transmission features of release 15 and 16 are beneficial for NTN to save UE energy and reduce latency.</w:t>
      </w:r>
    </w:p>
    <w:p w14:paraId="626CF32F" w14:textId="77777777" w:rsidR="00591BDF" w:rsidRPr="00C17BE5" w:rsidRDefault="00591BDF" w:rsidP="00591BDF">
      <w:pPr>
        <w:jc w:val="both"/>
        <w:rPr>
          <w:b/>
          <w:bCs/>
        </w:rPr>
      </w:pPr>
      <w:r w:rsidRPr="00C17BE5">
        <w:rPr>
          <w:b/>
          <w:bCs/>
        </w:rPr>
        <w:t>Observation 4: The preconfigured uplink resources feature of release 16 is beneficial for NTN, but requires further study.</w:t>
      </w:r>
    </w:p>
    <w:p w14:paraId="08BA4C5C" w14:textId="77777777" w:rsidR="00591BDF" w:rsidRPr="00E10F2D" w:rsidRDefault="00591BDF" w:rsidP="00591BDF">
      <w:pPr>
        <w:jc w:val="both"/>
        <w:rPr>
          <w:b/>
          <w:bCs/>
        </w:rPr>
      </w:pPr>
      <w:r w:rsidRPr="00E10F2D">
        <w:rPr>
          <w:b/>
          <w:bCs/>
        </w:rPr>
        <w:t>Observation 5: Co-existence between NR and NB-IoT/eMTC is useful for NTN to facilitate in-band deployment of NB-IoT and/or eMTC.</w:t>
      </w:r>
    </w:p>
    <w:p w14:paraId="6E1029AE" w14:textId="77777777" w:rsidR="00591BDF" w:rsidRPr="00E10F2D" w:rsidRDefault="00591BDF" w:rsidP="00591BDF">
      <w:pPr>
        <w:jc w:val="both"/>
        <w:rPr>
          <w:b/>
          <w:bCs/>
        </w:rPr>
      </w:pPr>
      <w:r w:rsidRPr="00E10F2D">
        <w:rPr>
          <w:b/>
          <w:bCs/>
        </w:rPr>
        <w:t>Observation 6: eMTC standalone deployment feature is useful for NTN to facilitate eMTC standalone deployment.</w:t>
      </w:r>
    </w:p>
    <w:p w14:paraId="7D1BE441" w14:textId="77777777" w:rsidR="00591BDF" w:rsidRPr="00C71E72" w:rsidRDefault="00591BDF" w:rsidP="00591BDF">
      <w:pPr>
        <w:jc w:val="both"/>
        <w:rPr>
          <w:rFonts w:eastAsia="Calibri"/>
          <w:b/>
          <w:bCs/>
        </w:rPr>
      </w:pPr>
      <w:r w:rsidRPr="00C71E72">
        <w:rPr>
          <w:rFonts w:eastAsia="Calibri"/>
          <w:b/>
          <w:bCs/>
        </w:rPr>
        <w:t xml:space="preserve">Observation </w:t>
      </w:r>
      <w:r>
        <w:rPr>
          <w:rFonts w:eastAsia="Calibri"/>
          <w:b/>
          <w:bCs/>
        </w:rPr>
        <w:t>7</w:t>
      </w:r>
      <w:r w:rsidRPr="00C71E72">
        <w:rPr>
          <w:rFonts w:eastAsia="Calibri"/>
          <w:b/>
          <w:bCs/>
        </w:rPr>
        <w:t>: non-anchor carrier operation is helpful to improve capacity of NB-IoT for NTN.</w:t>
      </w:r>
    </w:p>
    <w:p w14:paraId="32108F1F" w14:textId="77777777" w:rsidR="00591BDF" w:rsidRPr="00FE790A" w:rsidRDefault="00591BDF" w:rsidP="00591BDF">
      <w:pPr>
        <w:jc w:val="both"/>
        <w:rPr>
          <w:b/>
          <w:bCs/>
        </w:rPr>
      </w:pPr>
      <w:r w:rsidRPr="00FE790A">
        <w:rPr>
          <w:b/>
          <w:bCs/>
        </w:rPr>
        <w:t>Observation 8: dedicated scheduling request for NB-IoT is useful for NTN.</w:t>
      </w:r>
    </w:p>
    <w:p w14:paraId="103D776B" w14:textId="77777777" w:rsidR="0062123D" w:rsidRDefault="0062123D" w:rsidP="00BB2426"/>
    <w:p w14:paraId="4A6FB8BC" w14:textId="69BCEF84" w:rsidR="00591BDF" w:rsidRPr="0062123D" w:rsidRDefault="0062123D" w:rsidP="00BB2426">
      <w:r w:rsidRPr="0062123D">
        <w:t>Based on the discussion in section 2 we propose the following:</w:t>
      </w:r>
    </w:p>
    <w:p w14:paraId="42349C2F" w14:textId="77777777" w:rsidR="00591BDF" w:rsidRPr="00FA271C" w:rsidRDefault="00591BDF" w:rsidP="00591BDF">
      <w:pPr>
        <w:rPr>
          <w:b/>
          <w:bCs/>
        </w:rPr>
      </w:pPr>
      <w:r w:rsidRPr="00A31FAF">
        <w:rPr>
          <w:b/>
          <w:bCs/>
        </w:rPr>
        <w:t>Proposal</w:t>
      </w:r>
      <w:r>
        <w:rPr>
          <w:b/>
          <w:bCs/>
        </w:rPr>
        <w:t xml:space="preserve"> 1</w:t>
      </w:r>
      <w:r w:rsidRPr="00A31FAF">
        <w:rPr>
          <w:b/>
          <w:bCs/>
        </w:rPr>
        <w:t>: RAN2 to consider enhancements to minimise the system information acquisition for eDRX operation as part of the study Item.</w:t>
      </w:r>
    </w:p>
    <w:p w14:paraId="7758860C" w14:textId="77777777" w:rsidR="00591BDF" w:rsidRPr="00C17BE5" w:rsidRDefault="00591BDF" w:rsidP="00FA271C">
      <w:pPr>
        <w:rPr>
          <w:b/>
          <w:bCs/>
        </w:rPr>
      </w:pPr>
      <w:r w:rsidRPr="00C17BE5">
        <w:rPr>
          <w:b/>
          <w:bCs/>
        </w:rPr>
        <w:t>Proposal 2: RAN2 to consider use of Group Wake-Up Signal for NTN and further study relevant issues.</w:t>
      </w:r>
    </w:p>
    <w:p w14:paraId="1A1B656F" w14:textId="77777777" w:rsidR="00591BDF" w:rsidRPr="00C17BE5" w:rsidRDefault="00591BDF" w:rsidP="00FA271C">
      <w:pPr>
        <w:rPr>
          <w:b/>
          <w:bCs/>
        </w:rPr>
      </w:pPr>
      <w:r w:rsidRPr="00C17BE5">
        <w:rPr>
          <w:b/>
          <w:bCs/>
        </w:rPr>
        <w:t>Proposal 3: RAN2 to consider use of Preconfigured Uplink Resources for NTN and further study relevant issues.</w:t>
      </w:r>
    </w:p>
    <w:p w14:paraId="280F1C88" w14:textId="06EC8CE8" w:rsidR="00591BDF" w:rsidRPr="00944503" w:rsidRDefault="00FA271C" w:rsidP="00FA271C">
      <w:pPr>
        <w:rPr>
          <w:rFonts w:hint="eastAsia"/>
          <w:b/>
          <w:bCs/>
        </w:rPr>
      </w:pPr>
      <w:r w:rsidRPr="00C17BE5">
        <w:rPr>
          <w:b/>
          <w:bCs/>
        </w:rPr>
        <w:t xml:space="preserve">Proposal </w:t>
      </w:r>
      <w:r>
        <w:rPr>
          <w:b/>
          <w:bCs/>
        </w:rPr>
        <w:t>4</w:t>
      </w:r>
      <w:bookmarkStart w:id="0" w:name="_GoBack"/>
      <w:bookmarkEnd w:id="0"/>
      <w:r w:rsidR="00591BDF" w:rsidRPr="00E10F2D">
        <w:rPr>
          <w:b/>
          <w:bCs/>
        </w:rPr>
        <w:t xml:space="preserve">: </w:t>
      </w:r>
      <w:r w:rsidR="00591BDF" w:rsidRPr="00944503">
        <w:rPr>
          <w:b/>
          <w:bCs/>
        </w:rPr>
        <w:t>Depending on the RAN1 link budget evaluation</w:t>
      </w:r>
      <w:r w:rsidR="00591BDF">
        <w:rPr>
          <w:b/>
          <w:bCs/>
        </w:rPr>
        <w:t xml:space="preserve">, </w:t>
      </w:r>
      <w:r w:rsidR="00591BDF" w:rsidRPr="00944503">
        <w:rPr>
          <w:b/>
          <w:bCs/>
        </w:rPr>
        <w:t xml:space="preserve">sub-PRBs </w:t>
      </w:r>
      <w:r w:rsidR="00591BDF">
        <w:rPr>
          <w:b/>
          <w:bCs/>
        </w:rPr>
        <w:t xml:space="preserve">allocation </w:t>
      </w:r>
      <w:r w:rsidR="00591BDF" w:rsidRPr="00944503">
        <w:rPr>
          <w:b/>
          <w:bCs/>
        </w:rPr>
        <w:t>in UL for eMTC could be considered for NTN.</w:t>
      </w:r>
    </w:p>
    <w:p w14:paraId="66C652A3" w14:textId="77777777" w:rsidR="00591BDF" w:rsidRPr="00FE790A" w:rsidRDefault="00591BDF" w:rsidP="00FA271C">
      <w:pPr>
        <w:rPr>
          <w:b/>
          <w:bCs/>
        </w:rPr>
      </w:pPr>
      <w:r w:rsidRPr="00FE790A">
        <w:rPr>
          <w:b/>
          <w:bCs/>
        </w:rPr>
        <w:t>Proposal 5: RAN2 to study dedicated scheduling request for NB-IoT with HARQ feedback disabled.</w:t>
      </w:r>
    </w:p>
    <w:p w14:paraId="4C3C4CB8" w14:textId="014846FF" w:rsidR="00E76D0C" w:rsidRPr="00036205" w:rsidRDefault="00391C50" w:rsidP="00036205">
      <w:pPr>
        <w:pStyle w:val="Heading1"/>
      </w:pPr>
      <w:r>
        <w:t>References</w:t>
      </w:r>
      <w:bookmarkStart w:id="1" w:name="_Ref54172283"/>
      <w:bookmarkStart w:id="2" w:name="_Ref45185613"/>
      <w:bookmarkStart w:id="3" w:name="_Ref45103500"/>
      <w:r w:rsidR="001A6BE8" w:rsidRPr="00036205">
        <w:rPr>
          <w:rFonts w:ascii="Times New Roman" w:hAnsi="Times New Roman"/>
          <w:iCs/>
          <w:sz w:val="20"/>
        </w:rPr>
        <w:t xml:space="preserve">                                                </w:t>
      </w:r>
    </w:p>
    <w:p w14:paraId="17AF16FB" w14:textId="4B6DA096" w:rsidR="0072364B" w:rsidRDefault="0072364B" w:rsidP="0072364B">
      <w:pPr>
        <w:pStyle w:val="ListParagraph"/>
        <w:numPr>
          <w:ilvl w:val="0"/>
          <w:numId w:val="9"/>
        </w:numPr>
        <w:rPr>
          <w:rFonts w:ascii="Times New Roman" w:hAnsi="Times New Roman"/>
          <w:iCs/>
          <w:sz w:val="20"/>
          <w:szCs w:val="20"/>
        </w:rPr>
      </w:pPr>
      <w:bookmarkStart w:id="4" w:name="_Ref60731884"/>
      <w:bookmarkStart w:id="5" w:name="_Ref54173589"/>
      <w:r w:rsidRPr="0072364B">
        <w:rPr>
          <w:rFonts w:ascii="Times New Roman" w:hAnsi="Times New Roman"/>
          <w:iCs/>
          <w:sz w:val="20"/>
          <w:szCs w:val="20"/>
        </w:rPr>
        <w:t xml:space="preserve">R1-2009682 </w:t>
      </w:r>
      <w:r w:rsidRPr="00062EBC">
        <w:rPr>
          <w:rFonts w:ascii="Times New Roman" w:hAnsi="Times New Roman"/>
          <w:i/>
          <w:sz w:val="20"/>
          <w:szCs w:val="20"/>
        </w:rPr>
        <w:t>LS on support of NUL and SUL during DAPS handover</w:t>
      </w:r>
      <w:r w:rsidRPr="0072364B">
        <w:rPr>
          <w:rFonts w:ascii="Times New Roman" w:hAnsi="Times New Roman"/>
          <w:iCs/>
          <w:sz w:val="20"/>
          <w:szCs w:val="20"/>
        </w:rPr>
        <w:t xml:space="preserve"> 3GPP TSG RAN WG1 Meeting #103 e-Meeting, October 26th – November 13th, 2020</w:t>
      </w:r>
      <w:bookmarkEnd w:id="4"/>
    </w:p>
    <w:p w14:paraId="47B679F3" w14:textId="36D3ADD9" w:rsidR="00B639A6" w:rsidRPr="00B639A6" w:rsidRDefault="00B639A6" w:rsidP="00B639A6">
      <w:pPr>
        <w:pStyle w:val="ListParagraph"/>
        <w:numPr>
          <w:ilvl w:val="0"/>
          <w:numId w:val="9"/>
        </w:numPr>
        <w:rPr>
          <w:rFonts w:ascii="Times New Roman" w:hAnsi="Times New Roman"/>
          <w:iCs/>
          <w:sz w:val="20"/>
          <w:szCs w:val="20"/>
        </w:rPr>
      </w:pPr>
      <w:r w:rsidRPr="00B639A6">
        <w:rPr>
          <w:rFonts w:ascii="Times New Roman" w:hAnsi="Times New Roman"/>
          <w:iCs/>
          <w:sz w:val="20"/>
          <w:szCs w:val="20"/>
        </w:rPr>
        <w:t xml:space="preserve">R2-2010701 </w:t>
      </w:r>
      <w:r w:rsidRPr="00B639A6">
        <w:rPr>
          <w:rFonts w:ascii="Times New Roman" w:hAnsi="Times New Roman"/>
          <w:i/>
          <w:sz w:val="20"/>
          <w:szCs w:val="20"/>
        </w:rPr>
        <w:t>Report on LTE legacy, Mobility, DCCA, Multi-SIM and RAN slicing</w:t>
      </w:r>
      <w:r w:rsidRPr="00B639A6">
        <w:rPr>
          <w:rFonts w:ascii="Times New Roman" w:hAnsi="Times New Roman"/>
          <w:iCs/>
          <w:sz w:val="20"/>
          <w:szCs w:val="20"/>
        </w:rPr>
        <w:t xml:space="preserve"> 3GPP TSG-RAN WG2 Meeting #112 electronic Online, 02 – 13 November 2020</w:t>
      </w:r>
    </w:p>
    <w:p w14:paraId="73F57756" w14:textId="1D566D62" w:rsidR="003A4A35" w:rsidRPr="00EC4680" w:rsidRDefault="008973E7" w:rsidP="006C2F97">
      <w:pPr>
        <w:pStyle w:val="ListParagraph"/>
        <w:numPr>
          <w:ilvl w:val="0"/>
          <w:numId w:val="9"/>
        </w:numPr>
        <w:rPr>
          <w:rFonts w:ascii="Times New Roman" w:hAnsi="Times New Roman"/>
          <w:iCs/>
          <w:sz w:val="20"/>
          <w:szCs w:val="20"/>
        </w:rPr>
      </w:pPr>
      <w:r w:rsidRPr="00EC4680">
        <w:rPr>
          <w:rFonts w:ascii="Times New Roman" w:hAnsi="Times New Roman"/>
          <w:iCs/>
          <w:sz w:val="20"/>
          <w:szCs w:val="20"/>
        </w:rPr>
        <w:t>TS 38.331</w:t>
      </w:r>
      <w:bookmarkEnd w:id="1"/>
      <w:bookmarkEnd w:id="5"/>
      <w:r w:rsidR="00511EB2" w:rsidRPr="00EC4680">
        <w:rPr>
          <w:rFonts w:ascii="Times New Roman" w:hAnsi="Times New Roman"/>
          <w:iCs/>
          <w:sz w:val="20"/>
          <w:szCs w:val="20"/>
        </w:rPr>
        <w:t xml:space="preserve"> NR Radio Resource Control (RRC); Protocol specification</w:t>
      </w:r>
    </w:p>
    <w:p w14:paraId="548B57B4" w14:textId="73E1DF0A" w:rsidR="001C4049" w:rsidRPr="000526BE" w:rsidRDefault="003A4A35" w:rsidP="001C4049">
      <w:pPr>
        <w:pStyle w:val="ListParagraph"/>
        <w:numPr>
          <w:ilvl w:val="0"/>
          <w:numId w:val="9"/>
        </w:numPr>
        <w:rPr>
          <w:rFonts w:ascii="Times New Roman" w:hAnsi="Times New Roman"/>
          <w:iCs/>
          <w:sz w:val="20"/>
          <w:szCs w:val="20"/>
        </w:rPr>
      </w:pPr>
      <w:bookmarkStart w:id="6" w:name="_Ref54179281"/>
      <w:r w:rsidRPr="00EC4680">
        <w:rPr>
          <w:rFonts w:ascii="Times New Roman" w:hAnsi="Times New Roman"/>
          <w:iCs/>
          <w:sz w:val="20"/>
          <w:szCs w:val="20"/>
        </w:rPr>
        <w:t>TR 38.</w:t>
      </w:r>
      <w:r w:rsidR="00B40D2E" w:rsidRPr="00EC4680">
        <w:rPr>
          <w:rFonts w:ascii="Times New Roman" w:hAnsi="Times New Roman"/>
          <w:iCs/>
          <w:sz w:val="20"/>
          <w:szCs w:val="20"/>
        </w:rPr>
        <w:t>300</w:t>
      </w:r>
      <w:bookmarkEnd w:id="2"/>
      <w:bookmarkEnd w:id="3"/>
      <w:bookmarkEnd w:id="6"/>
      <w:r w:rsidR="00EC4680" w:rsidRPr="00EC4680">
        <w:rPr>
          <w:rFonts w:ascii="Times New Roman" w:hAnsi="Times New Roman"/>
          <w:iCs/>
          <w:sz w:val="20"/>
          <w:szCs w:val="20"/>
        </w:rPr>
        <w:t xml:space="preserve"> NR and NG-RAN Overall Description; Stage 2</w:t>
      </w:r>
    </w:p>
    <w:p w14:paraId="6B81057F" w14:textId="56EE1E75" w:rsidR="00B301AE" w:rsidRPr="003D4DBB" w:rsidRDefault="00B301AE" w:rsidP="001C4049">
      <w:pPr>
        <w:pStyle w:val="ListParagraph"/>
        <w:numPr>
          <w:ilvl w:val="0"/>
          <w:numId w:val="9"/>
        </w:numPr>
        <w:rPr>
          <w:rFonts w:ascii="Times New Roman" w:hAnsi="Times New Roman"/>
          <w:i/>
          <w:sz w:val="20"/>
          <w:szCs w:val="20"/>
        </w:rPr>
      </w:pPr>
      <w:bookmarkStart w:id="7" w:name="_Ref67467983"/>
      <w:r w:rsidRPr="00016659">
        <w:rPr>
          <w:rFonts w:ascii="Times New Roman" w:hAnsi="Times New Roman"/>
          <w:iCs/>
          <w:sz w:val="20"/>
          <w:szCs w:val="20"/>
        </w:rPr>
        <w:t>R1-21</w:t>
      </w:r>
      <w:r w:rsidR="00C17BE5">
        <w:rPr>
          <w:rFonts w:ascii="Times New Roman" w:hAnsi="Times New Roman"/>
          <w:iCs/>
          <w:sz w:val="20"/>
          <w:szCs w:val="20"/>
        </w:rPr>
        <w:t>02831</w:t>
      </w:r>
      <w:r>
        <w:rPr>
          <w:rFonts w:ascii="Times New Roman" w:hAnsi="Times New Roman"/>
          <w:iCs/>
          <w:sz w:val="20"/>
          <w:szCs w:val="20"/>
        </w:rPr>
        <w:t xml:space="preserve"> </w:t>
      </w:r>
      <w:r w:rsidR="003E38CF" w:rsidRPr="003D4DBB">
        <w:rPr>
          <w:rFonts w:ascii="Times New Roman" w:hAnsi="Times New Roman"/>
          <w:i/>
          <w:sz w:val="20"/>
          <w:szCs w:val="20"/>
        </w:rPr>
        <w:t>Link budget evaluations for NB-IoT/eMTC over NTN</w:t>
      </w:r>
      <w:r w:rsidR="003E38CF">
        <w:rPr>
          <w:rFonts w:ascii="Times New Roman" w:hAnsi="Times New Roman"/>
          <w:iCs/>
          <w:sz w:val="20"/>
          <w:szCs w:val="20"/>
        </w:rPr>
        <w:t>, Nokia, Nokia Shanghai Bell, April 2021</w:t>
      </w:r>
      <w:bookmarkEnd w:id="7"/>
    </w:p>
    <w:p w14:paraId="060B126B" w14:textId="77777777" w:rsidR="000526BE" w:rsidRPr="00AB1990" w:rsidRDefault="000526BE" w:rsidP="000526BE">
      <w:pPr>
        <w:rPr>
          <w:lang w:val="en-US"/>
        </w:rPr>
      </w:pPr>
    </w:p>
    <w:sectPr w:rsidR="000526BE" w:rsidRPr="00AB19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CEA09" w14:textId="77777777" w:rsidR="00305B46" w:rsidRDefault="00305B46">
      <w:r>
        <w:separator/>
      </w:r>
    </w:p>
  </w:endnote>
  <w:endnote w:type="continuationSeparator" w:id="0">
    <w:p w14:paraId="773C8A29" w14:textId="77777777" w:rsidR="00305B46" w:rsidRDefault="00305B46">
      <w:r>
        <w:continuationSeparator/>
      </w:r>
    </w:p>
  </w:endnote>
  <w:endnote w:type="continuationNotice" w:id="1">
    <w:p w14:paraId="0C6F388B" w14:textId="77777777" w:rsidR="00305B46" w:rsidRDefault="00305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62D83" w14:textId="77777777" w:rsidR="00305B46" w:rsidRDefault="00305B46">
      <w:r>
        <w:separator/>
      </w:r>
    </w:p>
  </w:footnote>
  <w:footnote w:type="continuationSeparator" w:id="0">
    <w:p w14:paraId="6BCEACE7" w14:textId="77777777" w:rsidR="00305B46" w:rsidRDefault="00305B46">
      <w:r>
        <w:continuationSeparator/>
      </w:r>
    </w:p>
  </w:footnote>
  <w:footnote w:type="continuationNotice" w:id="1">
    <w:p w14:paraId="18164B69" w14:textId="77777777" w:rsidR="00305B46" w:rsidRDefault="00305B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EA7173"/>
    <w:multiLevelType w:val="hybridMultilevel"/>
    <w:tmpl w:val="129410FE"/>
    <w:lvl w:ilvl="0" w:tplc="16D678A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50510F"/>
    <w:multiLevelType w:val="hybridMultilevel"/>
    <w:tmpl w:val="D0CCB1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E56B5E"/>
    <w:multiLevelType w:val="hybridMultilevel"/>
    <w:tmpl w:val="136C9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E7854"/>
    <w:multiLevelType w:val="hybridMultilevel"/>
    <w:tmpl w:val="60F64B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777F08"/>
    <w:multiLevelType w:val="hybridMultilevel"/>
    <w:tmpl w:val="5002ACD0"/>
    <w:lvl w:ilvl="0" w:tplc="16D678A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8"/>
  </w:num>
  <w:num w:numId="7">
    <w:abstractNumId w:val="19"/>
  </w:num>
  <w:num w:numId="8">
    <w:abstractNumId w:val="4"/>
  </w:num>
  <w:num w:numId="9">
    <w:abstractNumId w:val="7"/>
  </w:num>
  <w:num w:numId="10">
    <w:abstractNumId w:val="21"/>
  </w:num>
  <w:num w:numId="11">
    <w:abstractNumId w:val="5"/>
  </w:num>
  <w:num w:numId="12">
    <w:abstractNumId w:val="23"/>
  </w:num>
  <w:num w:numId="13">
    <w:abstractNumId w:val="22"/>
  </w:num>
  <w:num w:numId="14">
    <w:abstractNumId w:val="24"/>
  </w:num>
  <w:num w:numId="15">
    <w:abstractNumId w:val="2"/>
  </w:num>
  <w:num w:numId="16">
    <w:abstractNumId w:val="10"/>
  </w:num>
  <w:num w:numId="17">
    <w:abstractNumId w:val="16"/>
  </w:num>
  <w:num w:numId="18">
    <w:abstractNumId w:val="8"/>
  </w:num>
  <w:num w:numId="19">
    <w:abstractNumId w:val="20"/>
  </w:num>
  <w:num w:numId="20">
    <w:abstractNumId w:val="26"/>
  </w:num>
  <w:num w:numId="21">
    <w:abstractNumId w:val="11"/>
  </w:num>
  <w:num w:numId="22">
    <w:abstractNumId w:val="3"/>
  </w:num>
  <w:num w:numId="23">
    <w:abstractNumId w:val="12"/>
  </w:num>
  <w:num w:numId="24">
    <w:abstractNumId w:val="25"/>
  </w:num>
  <w:num w:numId="25">
    <w:abstractNumId w:val="9"/>
  </w:num>
  <w:num w:numId="26">
    <w:abstractNumId w:val="17"/>
  </w:num>
  <w:num w:numId="27">
    <w:abstractNumId w:val="17"/>
  </w:num>
  <w:num w:numId="28">
    <w:abstractNumId w:val="1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1C2"/>
    <w:rsid w:val="00007788"/>
    <w:rsid w:val="000120DC"/>
    <w:rsid w:val="00014AFD"/>
    <w:rsid w:val="00015B7A"/>
    <w:rsid w:val="00016557"/>
    <w:rsid w:val="00016659"/>
    <w:rsid w:val="000174B5"/>
    <w:rsid w:val="00020CFF"/>
    <w:rsid w:val="00021249"/>
    <w:rsid w:val="00022E29"/>
    <w:rsid w:val="00023C40"/>
    <w:rsid w:val="000267BC"/>
    <w:rsid w:val="000268DA"/>
    <w:rsid w:val="00027C34"/>
    <w:rsid w:val="00030DB5"/>
    <w:rsid w:val="0003309F"/>
    <w:rsid w:val="00033397"/>
    <w:rsid w:val="00033ADF"/>
    <w:rsid w:val="000348AC"/>
    <w:rsid w:val="00035462"/>
    <w:rsid w:val="00036205"/>
    <w:rsid w:val="000366DE"/>
    <w:rsid w:val="00037D38"/>
    <w:rsid w:val="00037E7C"/>
    <w:rsid w:val="00040095"/>
    <w:rsid w:val="000404D0"/>
    <w:rsid w:val="0004113F"/>
    <w:rsid w:val="0004663C"/>
    <w:rsid w:val="000526BE"/>
    <w:rsid w:val="00056D3E"/>
    <w:rsid w:val="00057BFF"/>
    <w:rsid w:val="00062EBC"/>
    <w:rsid w:val="0006561D"/>
    <w:rsid w:val="00066607"/>
    <w:rsid w:val="000707F8"/>
    <w:rsid w:val="000708AF"/>
    <w:rsid w:val="00071421"/>
    <w:rsid w:val="0007319E"/>
    <w:rsid w:val="00073330"/>
    <w:rsid w:val="00073C9C"/>
    <w:rsid w:val="00075FC6"/>
    <w:rsid w:val="0007757F"/>
    <w:rsid w:val="00080512"/>
    <w:rsid w:val="00081402"/>
    <w:rsid w:val="00081F7B"/>
    <w:rsid w:val="000823D8"/>
    <w:rsid w:val="00082F84"/>
    <w:rsid w:val="000875F6"/>
    <w:rsid w:val="000878C7"/>
    <w:rsid w:val="00090468"/>
    <w:rsid w:val="00090F51"/>
    <w:rsid w:val="00094568"/>
    <w:rsid w:val="0009514D"/>
    <w:rsid w:val="000953BE"/>
    <w:rsid w:val="000969DE"/>
    <w:rsid w:val="00097BAE"/>
    <w:rsid w:val="000A0F9D"/>
    <w:rsid w:val="000A1580"/>
    <w:rsid w:val="000A2B47"/>
    <w:rsid w:val="000A37C7"/>
    <w:rsid w:val="000A39D3"/>
    <w:rsid w:val="000A39F0"/>
    <w:rsid w:val="000B04D4"/>
    <w:rsid w:val="000B274C"/>
    <w:rsid w:val="000B275C"/>
    <w:rsid w:val="000B430C"/>
    <w:rsid w:val="000B51D6"/>
    <w:rsid w:val="000B562B"/>
    <w:rsid w:val="000B7322"/>
    <w:rsid w:val="000B7BCF"/>
    <w:rsid w:val="000B7DC3"/>
    <w:rsid w:val="000B7EEE"/>
    <w:rsid w:val="000C0316"/>
    <w:rsid w:val="000C2E0D"/>
    <w:rsid w:val="000C522B"/>
    <w:rsid w:val="000D085B"/>
    <w:rsid w:val="000D451E"/>
    <w:rsid w:val="000D4890"/>
    <w:rsid w:val="000D4D25"/>
    <w:rsid w:val="000D58AB"/>
    <w:rsid w:val="000D6AB1"/>
    <w:rsid w:val="000E351F"/>
    <w:rsid w:val="000E4120"/>
    <w:rsid w:val="000E5A69"/>
    <w:rsid w:val="000E75A7"/>
    <w:rsid w:val="000F034D"/>
    <w:rsid w:val="000F27DA"/>
    <w:rsid w:val="000F2CA0"/>
    <w:rsid w:val="000F5DA0"/>
    <w:rsid w:val="00105559"/>
    <w:rsid w:val="001062F5"/>
    <w:rsid w:val="00106E8B"/>
    <w:rsid w:val="001070F5"/>
    <w:rsid w:val="00112F1A"/>
    <w:rsid w:val="0011325D"/>
    <w:rsid w:val="00115CE1"/>
    <w:rsid w:val="001213F4"/>
    <w:rsid w:val="00122115"/>
    <w:rsid w:val="00124397"/>
    <w:rsid w:val="00125D7A"/>
    <w:rsid w:val="00126D8D"/>
    <w:rsid w:val="001344BC"/>
    <w:rsid w:val="001402CB"/>
    <w:rsid w:val="0014251D"/>
    <w:rsid w:val="00142BCD"/>
    <w:rsid w:val="001435D8"/>
    <w:rsid w:val="00143E44"/>
    <w:rsid w:val="00145075"/>
    <w:rsid w:val="001472CA"/>
    <w:rsid w:val="00152596"/>
    <w:rsid w:val="00156B32"/>
    <w:rsid w:val="00156FC5"/>
    <w:rsid w:val="00163198"/>
    <w:rsid w:val="001631EE"/>
    <w:rsid w:val="00166072"/>
    <w:rsid w:val="00172657"/>
    <w:rsid w:val="001741A0"/>
    <w:rsid w:val="0017447B"/>
    <w:rsid w:val="00174B65"/>
    <w:rsid w:val="00175FA0"/>
    <w:rsid w:val="0018132E"/>
    <w:rsid w:val="00181595"/>
    <w:rsid w:val="00182A05"/>
    <w:rsid w:val="00192473"/>
    <w:rsid w:val="00194C26"/>
    <w:rsid w:val="00194CD0"/>
    <w:rsid w:val="001A6BE8"/>
    <w:rsid w:val="001A7704"/>
    <w:rsid w:val="001B305B"/>
    <w:rsid w:val="001B3407"/>
    <w:rsid w:val="001B49C9"/>
    <w:rsid w:val="001B576A"/>
    <w:rsid w:val="001B672A"/>
    <w:rsid w:val="001B6C6B"/>
    <w:rsid w:val="001C0F02"/>
    <w:rsid w:val="001C23F4"/>
    <w:rsid w:val="001C2CE6"/>
    <w:rsid w:val="001C3DC6"/>
    <w:rsid w:val="001C4049"/>
    <w:rsid w:val="001C4F79"/>
    <w:rsid w:val="001D0C32"/>
    <w:rsid w:val="001D5980"/>
    <w:rsid w:val="001D5F9E"/>
    <w:rsid w:val="001D7F75"/>
    <w:rsid w:val="001E1F4E"/>
    <w:rsid w:val="001E3554"/>
    <w:rsid w:val="001E5CAF"/>
    <w:rsid w:val="001E6959"/>
    <w:rsid w:val="001E748D"/>
    <w:rsid w:val="001F168B"/>
    <w:rsid w:val="001F59CC"/>
    <w:rsid w:val="001F7831"/>
    <w:rsid w:val="00200DAD"/>
    <w:rsid w:val="00202629"/>
    <w:rsid w:val="00204045"/>
    <w:rsid w:val="0020712B"/>
    <w:rsid w:val="00211C3D"/>
    <w:rsid w:val="00213394"/>
    <w:rsid w:val="002136AA"/>
    <w:rsid w:val="00217D24"/>
    <w:rsid w:val="00221BE3"/>
    <w:rsid w:val="00223D21"/>
    <w:rsid w:val="00225F17"/>
    <w:rsid w:val="0022606D"/>
    <w:rsid w:val="002300FA"/>
    <w:rsid w:val="0023158F"/>
    <w:rsid w:val="00231728"/>
    <w:rsid w:val="00233057"/>
    <w:rsid w:val="00237D8A"/>
    <w:rsid w:val="0024072A"/>
    <w:rsid w:val="00241400"/>
    <w:rsid w:val="002415F7"/>
    <w:rsid w:val="002451FA"/>
    <w:rsid w:val="00246880"/>
    <w:rsid w:val="002501B5"/>
    <w:rsid w:val="00250404"/>
    <w:rsid w:val="00251822"/>
    <w:rsid w:val="00253135"/>
    <w:rsid w:val="00253845"/>
    <w:rsid w:val="002610D8"/>
    <w:rsid w:val="002613CB"/>
    <w:rsid w:val="00261AE5"/>
    <w:rsid w:val="00262813"/>
    <w:rsid w:val="00267789"/>
    <w:rsid w:val="00270503"/>
    <w:rsid w:val="002747EC"/>
    <w:rsid w:val="00275FFC"/>
    <w:rsid w:val="00283D55"/>
    <w:rsid w:val="002855BF"/>
    <w:rsid w:val="00296CBB"/>
    <w:rsid w:val="00297AEB"/>
    <w:rsid w:val="002A0169"/>
    <w:rsid w:val="002A2640"/>
    <w:rsid w:val="002A4FD3"/>
    <w:rsid w:val="002A6D2C"/>
    <w:rsid w:val="002B0435"/>
    <w:rsid w:val="002C2EB5"/>
    <w:rsid w:val="002C34AC"/>
    <w:rsid w:val="002C43E6"/>
    <w:rsid w:val="002C6B00"/>
    <w:rsid w:val="002D2D3A"/>
    <w:rsid w:val="002D6DB3"/>
    <w:rsid w:val="002E1C3B"/>
    <w:rsid w:val="002E3B21"/>
    <w:rsid w:val="002E4DC6"/>
    <w:rsid w:val="002E696A"/>
    <w:rsid w:val="002E7D42"/>
    <w:rsid w:val="002F0D22"/>
    <w:rsid w:val="002F51D5"/>
    <w:rsid w:val="002F607A"/>
    <w:rsid w:val="00300A9A"/>
    <w:rsid w:val="00302783"/>
    <w:rsid w:val="00303151"/>
    <w:rsid w:val="00303EE9"/>
    <w:rsid w:val="00304342"/>
    <w:rsid w:val="0030550A"/>
    <w:rsid w:val="00305B46"/>
    <w:rsid w:val="00306BC4"/>
    <w:rsid w:val="00311B17"/>
    <w:rsid w:val="00312462"/>
    <w:rsid w:val="00312758"/>
    <w:rsid w:val="003172DC"/>
    <w:rsid w:val="00325AE3"/>
    <w:rsid w:val="00326069"/>
    <w:rsid w:val="00326974"/>
    <w:rsid w:val="00331BD9"/>
    <w:rsid w:val="0033260E"/>
    <w:rsid w:val="00336EEC"/>
    <w:rsid w:val="003377A6"/>
    <w:rsid w:val="00340979"/>
    <w:rsid w:val="00340F9A"/>
    <w:rsid w:val="0034172F"/>
    <w:rsid w:val="00343F8E"/>
    <w:rsid w:val="00345C2A"/>
    <w:rsid w:val="00345D66"/>
    <w:rsid w:val="003465E8"/>
    <w:rsid w:val="00353C71"/>
    <w:rsid w:val="0035462D"/>
    <w:rsid w:val="0035527F"/>
    <w:rsid w:val="0035664E"/>
    <w:rsid w:val="00362AEB"/>
    <w:rsid w:val="0036459E"/>
    <w:rsid w:val="00364B41"/>
    <w:rsid w:val="00367555"/>
    <w:rsid w:val="00370D25"/>
    <w:rsid w:val="00372CA0"/>
    <w:rsid w:val="00373E0C"/>
    <w:rsid w:val="00374582"/>
    <w:rsid w:val="00377057"/>
    <w:rsid w:val="003778F2"/>
    <w:rsid w:val="00381862"/>
    <w:rsid w:val="00383096"/>
    <w:rsid w:val="003838B0"/>
    <w:rsid w:val="00385D7C"/>
    <w:rsid w:val="00391C50"/>
    <w:rsid w:val="003926C2"/>
    <w:rsid w:val="00392B59"/>
    <w:rsid w:val="0039346C"/>
    <w:rsid w:val="00394811"/>
    <w:rsid w:val="00394BDC"/>
    <w:rsid w:val="00395CC7"/>
    <w:rsid w:val="003975AA"/>
    <w:rsid w:val="003A3659"/>
    <w:rsid w:val="003A41EF"/>
    <w:rsid w:val="003A4A35"/>
    <w:rsid w:val="003A5444"/>
    <w:rsid w:val="003B0402"/>
    <w:rsid w:val="003B13B8"/>
    <w:rsid w:val="003B2719"/>
    <w:rsid w:val="003B2771"/>
    <w:rsid w:val="003B40AD"/>
    <w:rsid w:val="003B48AB"/>
    <w:rsid w:val="003C190A"/>
    <w:rsid w:val="003C285D"/>
    <w:rsid w:val="003C364A"/>
    <w:rsid w:val="003C4E37"/>
    <w:rsid w:val="003D056B"/>
    <w:rsid w:val="003D114C"/>
    <w:rsid w:val="003D2940"/>
    <w:rsid w:val="003D4AC5"/>
    <w:rsid w:val="003D4DBB"/>
    <w:rsid w:val="003D55F4"/>
    <w:rsid w:val="003D5D00"/>
    <w:rsid w:val="003E16BE"/>
    <w:rsid w:val="003E38CF"/>
    <w:rsid w:val="003E646B"/>
    <w:rsid w:val="003E797A"/>
    <w:rsid w:val="003E7B3D"/>
    <w:rsid w:val="003F0DF6"/>
    <w:rsid w:val="003F19B5"/>
    <w:rsid w:val="003F25DF"/>
    <w:rsid w:val="003F4452"/>
    <w:rsid w:val="003F4E28"/>
    <w:rsid w:val="003F5F30"/>
    <w:rsid w:val="004006E8"/>
    <w:rsid w:val="00400F6D"/>
    <w:rsid w:val="00401855"/>
    <w:rsid w:val="00406CB7"/>
    <w:rsid w:val="00407F07"/>
    <w:rsid w:val="0041046F"/>
    <w:rsid w:val="00411A8B"/>
    <w:rsid w:val="00412AE3"/>
    <w:rsid w:val="0041347B"/>
    <w:rsid w:val="004150B2"/>
    <w:rsid w:val="004167B8"/>
    <w:rsid w:val="00417935"/>
    <w:rsid w:val="00420DB4"/>
    <w:rsid w:val="00422993"/>
    <w:rsid w:val="00427899"/>
    <w:rsid w:val="00430483"/>
    <w:rsid w:val="0043171B"/>
    <w:rsid w:val="00434202"/>
    <w:rsid w:val="00434B68"/>
    <w:rsid w:val="00435E42"/>
    <w:rsid w:val="004414BC"/>
    <w:rsid w:val="00441DF5"/>
    <w:rsid w:val="00442891"/>
    <w:rsid w:val="00446FF7"/>
    <w:rsid w:val="004479DF"/>
    <w:rsid w:val="00452AAE"/>
    <w:rsid w:val="00456ADF"/>
    <w:rsid w:val="00457635"/>
    <w:rsid w:val="00461EFC"/>
    <w:rsid w:val="004651D9"/>
    <w:rsid w:val="00465587"/>
    <w:rsid w:val="004702FD"/>
    <w:rsid w:val="004727B3"/>
    <w:rsid w:val="00472EF8"/>
    <w:rsid w:val="00473F2D"/>
    <w:rsid w:val="00475B34"/>
    <w:rsid w:val="00477455"/>
    <w:rsid w:val="004832D8"/>
    <w:rsid w:val="00486281"/>
    <w:rsid w:val="00486E00"/>
    <w:rsid w:val="004908C0"/>
    <w:rsid w:val="004925E3"/>
    <w:rsid w:val="00492BF4"/>
    <w:rsid w:val="00493B31"/>
    <w:rsid w:val="004953D8"/>
    <w:rsid w:val="004964D0"/>
    <w:rsid w:val="004A0605"/>
    <w:rsid w:val="004A1F7B"/>
    <w:rsid w:val="004A2FBF"/>
    <w:rsid w:val="004A4890"/>
    <w:rsid w:val="004A6891"/>
    <w:rsid w:val="004B2429"/>
    <w:rsid w:val="004B4030"/>
    <w:rsid w:val="004B58B8"/>
    <w:rsid w:val="004B7BA4"/>
    <w:rsid w:val="004C0A97"/>
    <w:rsid w:val="004C11E9"/>
    <w:rsid w:val="004C1D51"/>
    <w:rsid w:val="004C2FC0"/>
    <w:rsid w:val="004C3BC5"/>
    <w:rsid w:val="004C44D2"/>
    <w:rsid w:val="004C589E"/>
    <w:rsid w:val="004C7357"/>
    <w:rsid w:val="004D135F"/>
    <w:rsid w:val="004D3578"/>
    <w:rsid w:val="004D380D"/>
    <w:rsid w:val="004D416B"/>
    <w:rsid w:val="004E166C"/>
    <w:rsid w:val="004E213A"/>
    <w:rsid w:val="004E227B"/>
    <w:rsid w:val="004E354C"/>
    <w:rsid w:val="004E562B"/>
    <w:rsid w:val="004F0D9F"/>
    <w:rsid w:val="004F5AF4"/>
    <w:rsid w:val="00502D93"/>
    <w:rsid w:val="00503171"/>
    <w:rsid w:val="0050460E"/>
    <w:rsid w:val="00506C28"/>
    <w:rsid w:val="00511B3B"/>
    <w:rsid w:val="00511EB2"/>
    <w:rsid w:val="00512F78"/>
    <w:rsid w:val="005153B6"/>
    <w:rsid w:val="0052083A"/>
    <w:rsid w:val="005220AC"/>
    <w:rsid w:val="0052413B"/>
    <w:rsid w:val="0052679E"/>
    <w:rsid w:val="00534DA0"/>
    <w:rsid w:val="00541E55"/>
    <w:rsid w:val="0054338F"/>
    <w:rsid w:val="00543DBB"/>
    <w:rsid w:val="00543E6C"/>
    <w:rsid w:val="00546A27"/>
    <w:rsid w:val="00552253"/>
    <w:rsid w:val="005526C8"/>
    <w:rsid w:val="005531F8"/>
    <w:rsid w:val="005644F0"/>
    <w:rsid w:val="00565087"/>
    <w:rsid w:val="0056573F"/>
    <w:rsid w:val="00566E28"/>
    <w:rsid w:val="00575324"/>
    <w:rsid w:val="00577524"/>
    <w:rsid w:val="0058072A"/>
    <w:rsid w:val="00581213"/>
    <w:rsid w:val="00581D26"/>
    <w:rsid w:val="00581E90"/>
    <w:rsid w:val="00585878"/>
    <w:rsid w:val="00587686"/>
    <w:rsid w:val="0059046D"/>
    <w:rsid w:val="00591B10"/>
    <w:rsid w:val="00591BDF"/>
    <w:rsid w:val="005939CF"/>
    <w:rsid w:val="005A05EF"/>
    <w:rsid w:val="005A1304"/>
    <w:rsid w:val="005A2C50"/>
    <w:rsid w:val="005A49C6"/>
    <w:rsid w:val="005A57A3"/>
    <w:rsid w:val="005A6CF6"/>
    <w:rsid w:val="005B4B3F"/>
    <w:rsid w:val="005B754F"/>
    <w:rsid w:val="005B7E0E"/>
    <w:rsid w:val="005C2BF7"/>
    <w:rsid w:val="005C778B"/>
    <w:rsid w:val="005C7B37"/>
    <w:rsid w:val="005C7B5C"/>
    <w:rsid w:val="005D15EB"/>
    <w:rsid w:val="005D25AA"/>
    <w:rsid w:val="005D2B40"/>
    <w:rsid w:val="005D2C72"/>
    <w:rsid w:val="005D44DA"/>
    <w:rsid w:val="005E1B84"/>
    <w:rsid w:val="005E3AAA"/>
    <w:rsid w:val="005E3B77"/>
    <w:rsid w:val="005E4937"/>
    <w:rsid w:val="005E7074"/>
    <w:rsid w:val="005E7849"/>
    <w:rsid w:val="005F122C"/>
    <w:rsid w:val="005F1668"/>
    <w:rsid w:val="005F216B"/>
    <w:rsid w:val="005F2D71"/>
    <w:rsid w:val="005F383B"/>
    <w:rsid w:val="005F456B"/>
    <w:rsid w:val="005F63D0"/>
    <w:rsid w:val="005F70C7"/>
    <w:rsid w:val="006011F3"/>
    <w:rsid w:val="00604798"/>
    <w:rsid w:val="00605396"/>
    <w:rsid w:val="00605B9D"/>
    <w:rsid w:val="006067B8"/>
    <w:rsid w:val="0060747D"/>
    <w:rsid w:val="0060762A"/>
    <w:rsid w:val="00611566"/>
    <w:rsid w:val="00611710"/>
    <w:rsid w:val="006126D3"/>
    <w:rsid w:val="0061378F"/>
    <w:rsid w:val="00615DD0"/>
    <w:rsid w:val="0061629D"/>
    <w:rsid w:val="00617124"/>
    <w:rsid w:val="0061717E"/>
    <w:rsid w:val="00620121"/>
    <w:rsid w:val="006205A9"/>
    <w:rsid w:val="006211BD"/>
    <w:rsid w:val="0062123D"/>
    <w:rsid w:val="0062578C"/>
    <w:rsid w:val="00630B74"/>
    <w:rsid w:val="00631FB1"/>
    <w:rsid w:val="00632CEA"/>
    <w:rsid w:val="00633572"/>
    <w:rsid w:val="006376A3"/>
    <w:rsid w:val="00646633"/>
    <w:rsid w:val="00646D99"/>
    <w:rsid w:val="00646E30"/>
    <w:rsid w:val="00647146"/>
    <w:rsid w:val="0065130D"/>
    <w:rsid w:val="00651F0E"/>
    <w:rsid w:val="00656910"/>
    <w:rsid w:val="006574C0"/>
    <w:rsid w:val="00660A6F"/>
    <w:rsid w:val="00663453"/>
    <w:rsid w:val="00664B67"/>
    <w:rsid w:val="00665B45"/>
    <w:rsid w:val="006667E3"/>
    <w:rsid w:val="00667606"/>
    <w:rsid w:val="00670A14"/>
    <w:rsid w:val="006713F8"/>
    <w:rsid w:val="006739B2"/>
    <w:rsid w:val="00675432"/>
    <w:rsid w:val="00680B13"/>
    <w:rsid w:val="00681F65"/>
    <w:rsid w:val="00683678"/>
    <w:rsid w:val="00684613"/>
    <w:rsid w:val="00685866"/>
    <w:rsid w:val="00685B43"/>
    <w:rsid w:val="0068655F"/>
    <w:rsid w:val="006935BB"/>
    <w:rsid w:val="00693766"/>
    <w:rsid w:val="0069736F"/>
    <w:rsid w:val="006A028F"/>
    <w:rsid w:val="006A1686"/>
    <w:rsid w:val="006A206A"/>
    <w:rsid w:val="006A3D80"/>
    <w:rsid w:val="006A6723"/>
    <w:rsid w:val="006A67ED"/>
    <w:rsid w:val="006B08C6"/>
    <w:rsid w:val="006B0C9A"/>
    <w:rsid w:val="006B3180"/>
    <w:rsid w:val="006B4819"/>
    <w:rsid w:val="006B4C70"/>
    <w:rsid w:val="006B4D89"/>
    <w:rsid w:val="006C2579"/>
    <w:rsid w:val="006C2F97"/>
    <w:rsid w:val="006C64E6"/>
    <w:rsid w:val="006C66D8"/>
    <w:rsid w:val="006C695E"/>
    <w:rsid w:val="006C7EB0"/>
    <w:rsid w:val="006D0258"/>
    <w:rsid w:val="006D1E24"/>
    <w:rsid w:val="006D2290"/>
    <w:rsid w:val="006D2815"/>
    <w:rsid w:val="006D4A84"/>
    <w:rsid w:val="006D51D9"/>
    <w:rsid w:val="006E1417"/>
    <w:rsid w:val="006E35A0"/>
    <w:rsid w:val="006F4831"/>
    <w:rsid w:val="006F4D72"/>
    <w:rsid w:val="006F64F9"/>
    <w:rsid w:val="006F6A2C"/>
    <w:rsid w:val="00702492"/>
    <w:rsid w:val="007069DC"/>
    <w:rsid w:val="00707029"/>
    <w:rsid w:val="00710201"/>
    <w:rsid w:val="007107ED"/>
    <w:rsid w:val="00715B21"/>
    <w:rsid w:val="0071658D"/>
    <w:rsid w:val="0071731C"/>
    <w:rsid w:val="007177C0"/>
    <w:rsid w:val="0072073A"/>
    <w:rsid w:val="00722B50"/>
    <w:rsid w:val="00722BFD"/>
    <w:rsid w:val="0072364B"/>
    <w:rsid w:val="00724472"/>
    <w:rsid w:val="007251DB"/>
    <w:rsid w:val="00725B0F"/>
    <w:rsid w:val="00725D1A"/>
    <w:rsid w:val="00730073"/>
    <w:rsid w:val="00732294"/>
    <w:rsid w:val="00732D44"/>
    <w:rsid w:val="007339E3"/>
    <w:rsid w:val="0073426C"/>
    <w:rsid w:val="007342B5"/>
    <w:rsid w:val="007348A9"/>
    <w:rsid w:val="00734A5B"/>
    <w:rsid w:val="00736A5F"/>
    <w:rsid w:val="0073700A"/>
    <w:rsid w:val="0074330B"/>
    <w:rsid w:val="00744E76"/>
    <w:rsid w:val="00745729"/>
    <w:rsid w:val="007469A1"/>
    <w:rsid w:val="00750810"/>
    <w:rsid w:val="00753B8B"/>
    <w:rsid w:val="00755F2A"/>
    <w:rsid w:val="00756543"/>
    <w:rsid w:val="00757D40"/>
    <w:rsid w:val="007620D8"/>
    <w:rsid w:val="00762895"/>
    <w:rsid w:val="0076292A"/>
    <w:rsid w:val="00762B09"/>
    <w:rsid w:val="00762B47"/>
    <w:rsid w:val="007662B5"/>
    <w:rsid w:val="00767F01"/>
    <w:rsid w:val="00770FFB"/>
    <w:rsid w:val="00771407"/>
    <w:rsid w:val="00777920"/>
    <w:rsid w:val="00781F0F"/>
    <w:rsid w:val="00782AA8"/>
    <w:rsid w:val="00783C0C"/>
    <w:rsid w:val="0078727C"/>
    <w:rsid w:val="007879E3"/>
    <w:rsid w:val="007900FD"/>
    <w:rsid w:val="0079021D"/>
    <w:rsid w:val="0079049D"/>
    <w:rsid w:val="00792542"/>
    <w:rsid w:val="00792C10"/>
    <w:rsid w:val="00792D1C"/>
    <w:rsid w:val="00793DC5"/>
    <w:rsid w:val="00793E30"/>
    <w:rsid w:val="00794BBB"/>
    <w:rsid w:val="007A1A72"/>
    <w:rsid w:val="007A261E"/>
    <w:rsid w:val="007A4BC3"/>
    <w:rsid w:val="007B18D8"/>
    <w:rsid w:val="007B335E"/>
    <w:rsid w:val="007B55BE"/>
    <w:rsid w:val="007B6E29"/>
    <w:rsid w:val="007C095F"/>
    <w:rsid w:val="007C2B60"/>
    <w:rsid w:val="007C2DD0"/>
    <w:rsid w:val="007C31EF"/>
    <w:rsid w:val="007C421C"/>
    <w:rsid w:val="007D256D"/>
    <w:rsid w:val="007D2BCC"/>
    <w:rsid w:val="007D4A46"/>
    <w:rsid w:val="007D67FF"/>
    <w:rsid w:val="007D76DC"/>
    <w:rsid w:val="007E0EE3"/>
    <w:rsid w:val="007E4EF8"/>
    <w:rsid w:val="007E78F6"/>
    <w:rsid w:val="007F2E08"/>
    <w:rsid w:val="007F3935"/>
    <w:rsid w:val="007F65FF"/>
    <w:rsid w:val="008009A2"/>
    <w:rsid w:val="0080188A"/>
    <w:rsid w:val="008028A4"/>
    <w:rsid w:val="008037AD"/>
    <w:rsid w:val="008037DD"/>
    <w:rsid w:val="008043BF"/>
    <w:rsid w:val="008054E1"/>
    <w:rsid w:val="0081004D"/>
    <w:rsid w:val="00810702"/>
    <w:rsid w:val="00813245"/>
    <w:rsid w:val="008147CD"/>
    <w:rsid w:val="00815C36"/>
    <w:rsid w:val="00816ACD"/>
    <w:rsid w:val="00821165"/>
    <w:rsid w:val="00821997"/>
    <w:rsid w:val="00822327"/>
    <w:rsid w:val="00823220"/>
    <w:rsid w:val="00826C58"/>
    <w:rsid w:val="00826DD6"/>
    <w:rsid w:val="00827992"/>
    <w:rsid w:val="00831521"/>
    <w:rsid w:val="00832641"/>
    <w:rsid w:val="00836D38"/>
    <w:rsid w:val="00836D7D"/>
    <w:rsid w:val="0083789B"/>
    <w:rsid w:val="00840DE0"/>
    <w:rsid w:val="008422DF"/>
    <w:rsid w:val="00842EA3"/>
    <w:rsid w:val="0084472C"/>
    <w:rsid w:val="00845192"/>
    <w:rsid w:val="00846011"/>
    <w:rsid w:val="00852962"/>
    <w:rsid w:val="008529FC"/>
    <w:rsid w:val="00855431"/>
    <w:rsid w:val="00857F83"/>
    <w:rsid w:val="008603EC"/>
    <w:rsid w:val="00860A54"/>
    <w:rsid w:val="00862A88"/>
    <w:rsid w:val="0086354A"/>
    <w:rsid w:val="008657FC"/>
    <w:rsid w:val="00870223"/>
    <w:rsid w:val="00870982"/>
    <w:rsid w:val="00870A22"/>
    <w:rsid w:val="008768CA"/>
    <w:rsid w:val="0087788A"/>
    <w:rsid w:val="00877EF9"/>
    <w:rsid w:val="00880559"/>
    <w:rsid w:val="00883A81"/>
    <w:rsid w:val="00883B4C"/>
    <w:rsid w:val="00883FEA"/>
    <w:rsid w:val="00884608"/>
    <w:rsid w:val="00884FB0"/>
    <w:rsid w:val="00885B22"/>
    <w:rsid w:val="00887531"/>
    <w:rsid w:val="008948DC"/>
    <w:rsid w:val="00894DBD"/>
    <w:rsid w:val="008973E7"/>
    <w:rsid w:val="008A04B6"/>
    <w:rsid w:val="008A0637"/>
    <w:rsid w:val="008A1867"/>
    <w:rsid w:val="008A1CC5"/>
    <w:rsid w:val="008A37A2"/>
    <w:rsid w:val="008A4A13"/>
    <w:rsid w:val="008A514C"/>
    <w:rsid w:val="008A5E64"/>
    <w:rsid w:val="008A70E9"/>
    <w:rsid w:val="008A7150"/>
    <w:rsid w:val="008B0403"/>
    <w:rsid w:val="008B141A"/>
    <w:rsid w:val="008B1679"/>
    <w:rsid w:val="008B402C"/>
    <w:rsid w:val="008B4A03"/>
    <w:rsid w:val="008B5306"/>
    <w:rsid w:val="008C2E2A"/>
    <w:rsid w:val="008C3057"/>
    <w:rsid w:val="008C5DF0"/>
    <w:rsid w:val="008C6359"/>
    <w:rsid w:val="008D058B"/>
    <w:rsid w:val="008D0E39"/>
    <w:rsid w:val="008D2E4D"/>
    <w:rsid w:val="008D3496"/>
    <w:rsid w:val="008D3AC3"/>
    <w:rsid w:val="008D59B1"/>
    <w:rsid w:val="008E3193"/>
    <w:rsid w:val="008F396F"/>
    <w:rsid w:val="008F3DCD"/>
    <w:rsid w:val="008F5D90"/>
    <w:rsid w:val="008F7C1D"/>
    <w:rsid w:val="00900F16"/>
    <w:rsid w:val="00900FC0"/>
    <w:rsid w:val="009012EE"/>
    <w:rsid w:val="0090155A"/>
    <w:rsid w:val="009022F7"/>
    <w:rsid w:val="0090271F"/>
    <w:rsid w:val="00902B60"/>
    <w:rsid w:val="00902DB9"/>
    <w:rsid w:val="0090466A"/>
    <w:rsid w:val="0091401B"/>
    <w:rsid w:val="00914FAC"/>
    <w:rsid w:val="009152FC"/>
    <w:rsid w:val="00917544"/>
    <w:rsid w:val="00923441"/>
    <w:rsid w:val="00923655"/>
    <w:rsid w:val="00925D75"/>
    <w:rsid w:val="0092743D"/>
    <w:rsid w:val="00930FB8"/>
    <w:rsid w:val="0093141B"/>
    <w:rsid w:val="00931E8F"/>
    <w:rsid w:val="00931F92"/>
    <w:rsid w:val="0093319E"/>
    <w:rsid w:val="00933502"/>
    <w:rsid w:val="00936071"/>
    <w:rsid w:val="009376CD"/>
    <w:rsid w:val="00940212"/>
    <w:rsid w:val="0094110A"/>
    <w:rsid w:val="00941A7C"/>
    <w:rsid w:val="00942E07"/>
    <w:rsid w:val="00942EC2"/>
    <w:rsid w:val="00943E70"/>
    <w:rsid w:val="00944503"/>
    <w:rsid w:val="00952C8D"/>
    <w:rsid w:val="00960B75"/>
    <w:rsid w:val="00961B32"/>
    <w:rsid w:val="00961CB1"/>
    <w:rsid w:val="00962509"/>
    <w:rsid w:val="00962F75"/>
    <w:rsid w:val="00966222"/>
    <w:rsid w:val="00966F92"/>
    <w:rsid w:val="00970AC7"/>
    <w:rsid w:val="00970DB3"/>
    <w:rsid w:val="00974BB0"/>
    <w:rsid w:val="00975BCD"/>
    <w:rsid w:val="00975D70"/>
    <w:rsid w:val="009830BB"/>
    <w:rsid w:val="0098629A"/>
    <w:rsid w:val="00987ABB"/>
    <w:rsid w:val="00990A48"/>
    <w:rsid w:val="009928A9"/>
    <w:rsid w:val="00993A71"/>
    <w:rsid w:val="00994CC6"/>
    <w:rsid w:val="009960A9"/>
    <w:rsid w:val="00996FD9"/>
    <w:rsid w:val="00997581"/>
    <w:rsid w:val="009A0658"/>
    <w:rsid w:val="009A086E"/>
    <w:rsid w:val="009A0AF3"/>
    <w:rsid w:val="009A163B"/>
    <w:rsid w:val="009A1879"/>
    <w:rsid w:val="009A3EC6"/>
    <w:rsid w:val="009B07CD"/>
    <w:rsid w:val="009B0C01"/>
    <w:rsid w:val="009B4142"/>
    <w:rsid w:val="009B760F"/>
    <w:rsid w:val="009C0B9B"/>
    <w:rsid w:val="009C0F44"/>
    <w:rsid w:val="009C19E9"/>
    <w:rsid w:val="009C34B5"/>
    <w:rsid w:val="009C621E"/>
    <w:rsid w:val="009C662E"/>
    <w:rsid w:val="009D23BB"/>
    <w:rsid w:val="009D2B6E"/>
    <w:rsid w:val="009D36E1"/>
    <w:rsid w:val="009D3FE8"/>
    <w:rsid w:val="009D74A6"/>
    <w:rsid w:val="009E0E47"/>
    <w:rsid w:val="009E0E87"/>
    <w:rsid w:val="009E201B"/>
    <w:rsid w:val="009E5C49"/>
    <w:rsid w:val="009E6C36"/>
    <w:rsid w:val="009F22E7"/>
    <w:rsid w:val="009F4A3C"/>
    <w:rsid w:val="009F5016"/>
    <w:rsid w:val="009F6706"/>
    <w:rsid w:val="009F6E16"/>
    <w:rsid w:val="00A03C91"/>
    <w:rsid w:val="00A10F02"/>
    <w:rsid w:val="00A11526"/>
    <w:rsid w:val="00A13940"/>
    <w:rsid w:val="00A1702C"/>
    <w:rsid w:val="00A179E0"/>
    <w:rsid w:val="00A204CA"/>
    <w:rsid w:val="00A209D6"/>
    <w:rsid w:val="00A25EC5"/>
    <w:rsid w:val="00A26404"/>
    <w:rsid w:val="00A3103A"/>
    <w:rsid w:val="00A34070"/>
    <w:rsid w:val="00A35D7C"/>
    <w:rsid w:val="00A37F40"/>
    <w:rsid w:val="00A42CC1"/>
    <w:rsid w:val="00A472E7"/>
    <w:rsid w:val="00A479D9"/>
    <w:rsid w:val="00A512FA"/>
    <w:rsid w:val="00A528DD"/>
    <w:rsid w:val="00A52BE0"/>
    <w:rsid w:val="00A53100"/>
    <w:rsid w:val="00A53724"/>
    <w:rsid w:val="00A54B2B"/>
    <w:rsid w:val="00A56B05"/>
    <w:rsid w:val="00A6015C"/>
    <w:rsid w:val="00A61979"/>
    <w:rsid w:val="00A70F13"/>
    <w:rsid w:val="00A74DAC"/>
    <w:rsid w:val="00A754E2"/>
    <w:rsid w:val="00A76C34"/>
    <w:rsid w:val="00A82346"/>
    <w:rsid w:val="00A853FA"/>
    <w:rsid w:val="00A8665F"/>
    <w:rsid w:val="00A90392"/>
    <w:rsid w:val="00A92852"/>
    <w:rsid w:val="00A94BC1"/>
    <w:rsid w:val="00A95B25"/>
    <w:rsid w:val="00A962DB"/>
    <w:rsid w:val="00A9671C"/>
    <w:rsid w:val="00A96737"/>
    <w:rsid w:val="00A97BA6"/>
    <w:rsid w:val="00AA1553"/>
    <w:rsid w:val="00AA25C1"/>
    <w:rsid w:val="00AA3A72"/>
    <w:rsid w:val="00AA5CB1"/>
    <w:rsid w:val="00AA5DE1"/>
    <w:rsid w:val="00AB139E"/>
    <w:rsid w:val="00AB1990"/>
    <w:rsid w:val="00AB3622"/>
    <w:rsid w:val="00AB593C"/>
    <w:rsid w:val="00AB7FEB"/>
    <w:rsid w:val="00AC2AFF"/>
    <w:rsid w:val="00AC309D"/>
    <w:rsid w:val="00AD3687"/>
    <w:rsid w:val="00AD4C50"/>
    <w:rsid w:val="00AD655D"/>
    <w:rsid w:val="00AD696E"/>
    <w:rsid w:val="00AE1D96"/>
    <w:rsid w:val="00AF083E"/>
    <w:rsid w:val="00AF0E1E"/>
    <w:rsid w:val="00AF166A"/>
    <w:rsid w:val="00AF4156"/>
    <w:rsid w:val="00AF6AAB"/>
    <w:rsid w:val="00AF6F55"/>
    <w:rsid w:val="00AF7040"/>
    <w:rsid w:val="00B0153E"/>
    <w:rsid w:val="00B016B5"/>
    <w:rsid w:val="00B021B5"/>
    <w:rsid w:val="00B021DD"/>
    <w:rsid w:val="00B04B1D"/>
    <w:rsid w:val="00B05380"/>
    <w:rsid w:val="00B05962"/>
    <w:rsid w:val="00B06A93"/>
    <w:rsid w:val="00B06B16"/>
    <w:rsid w:val="00B11BA9"/>
    <w:rsid w:val="00B1271F"/>
    <w:rsid w:val="00B12CC2"/>
    <w:rsid w:val="00B15449"/>
    <w:rsid w:val="00B15CCF"/>
    <w:rsid w:val="00B16C2F"/>
    <w:rsid w:val="00B17C88"/>
    <w:rsid w:val="00B22DB1"/>
    <w:rsid w:val="00B23848"/>
    <w:rsid w:val="00B24A39"/>
    <w:rsid w:val="00B27303"/>
    <w:rsid w:val="00B301AE"/>
    <w:rsid w:val="00B3077B"/>
    <w:rsid w:val="00B34167"/>
    <w:rsid w:val="00B40D2E"/>
    <w:rsid w:val="00B415F0"/>
    <w:rsid w:val="00B47FD1"/>
    <w:rsid w:val="00B50461"/>
    <w:rsid w:val="00B516BB"/>
    <w:rsid w:val="00B51E0B"/>
    <w:rsid w:val="00B52904"/>
    <w:rsid w:val="00B52949"/>
    <w:rsid w:val="00B546B8"/>
    <w:rsid w:val="00B54912"/>
    <w:rsid w:val="00B54A0E"/>
    <w:rsid w:val="00B6165B"/>
    <w:rsid w:val="00B62288"/>
    <w:rsid w:val="00B639A6"/>
    <w:rsid w:val="00B64EB0"/>
    <w:rsid w:val="00B700EA"/>
    <w:rsid w:val="00B7347E"/>
    <w:rsid w:val="00B764FD"/>
    <w:rsid w:val="00B76AB8"/>
    <w:rsid w:val="00B83027"/>
    <w:rsid w:val="00B84B4B"/>
    <w:rsid w:val="00B84DB2"/>
    <w:rsid w:val="00B84E2A"/>
    <w:rsid w:val="00B85BC2"/>
    <w:rsid w:val="00B90AB2"/>
    <w:rsid w:val="00B914C0"/>
    <w:rsid w:val="00B923F8"/>
    <w:rsid w:val="00B93D0B"/>
    <w:rsid w:val="00B97445"/>
    <w:rsid w:val="00B97AFF"/>
    <w:rsid w:val="00BA0C32"/>
    <w:rsid w:val="00BB2426"/>
    <w:rsid w:val="00BB3867"/>
    <w:rsid w:val="00BB7F2B"/>
    <w:rsid w:val="00BC05B5"/>
    <w:rsid w:val="00BC07DF"/>
    <w:rsid w:val="00BC0B18"/>
    <w:rsid w:val="00BC3555"/>
    <w:rsid w:val="00BC4116"/>
    <w:rsid w:val="00BC5632"/>
    <w:rsid w:val="00BE55DF"/>
    <w:rsid w:val="00BE66C1"/>
    <w:rsid w:val="00BE761C"/>
    <w:rsid w:val="00BF1B25"/>
    <w:rsid w:val="00BF1E6D"/>
    <w:rsid w:val="00BF21D6"/>
    <w:rsid w:val="00BF6DC1"/>
    <w:rsid w:val="00BF7F37"/>
    <w:rsid w:val="00C012CE"/>
    <w:rsid w:val="00C01DD5"/>
    <w:rsid w:val="00C04FF3"/>
    <w:rsid w:val="00C0567A"/>
    <w:rsid w:val="00C05CD4"/>
    <w:rsid w:val="00C07236"/>
    <w:rsid w:val="00C07D4E"/>
    <w:rsid w:val="00C12818"/>
    <w:rsid w:val="00C12B51"/>
    <w:rsid w:val="00C17BE5"/>
    <w:rsid w:val="00C219B3"/>
    <w:rsid w:val="00C24650"/>
    <w:rsid w:val="00C25465"/>
    <w:rsid w:val="00C30DA4"/>
    <w:rsid w:val="00C30E2F"/>
    <w:rsid w:val="00C33079"/>
    <w:rsid w:val="00C378E5"/>
    <w:rsid w:val="00C44D05"/>
    <w:rsid w:val="00C5002E"/>
    <w:rsid w:val="00C50397"/>
    <w:rsid w:val="00C51B51"/>
    <w:rsid w:val="00C53EBC"/>
    <w:rsid w:val="00C54B57"/>
    <w:rsid w:val="00C5545F"/>
    <w:rsid w:val="00C57DA7"/>
    <w:rsid w:val="00C613D8"/>
    <w:rsid w:val="00C62EC7"/>
    <w:rsid w:val="00C65340"/>
    <w:rsid w:val="00C71E72"/>
    <w:rsid w:val="00C756AA"/>
    <w:rsid w:val="00C75D5E"/>
    <w:rsid w:val="00C760EA"/>
    <w:rsid w:val="00C76B1D"/>
    <w:rsid w:val="00C77470"/>
    <w:rsid w:val="00C83A13"/>
    <w:rsid w:val="00C85718"/>
    <w:rsid w:val="00C858F7"/>
    <w:rsid w:val="00C87384"/>
    <w:rsid w:val="00C9068C"/>
    <w:rsid w:val="00C90FBF"/>
    <w:rsid w:val="00C92967"/>
    <w:rsid w:val="00C95FB4"/>
    <w:rsid w:val="00CA051B"/>
    <w:rsid w:val="00CA1E0D"/>
    <w:rsid w:val="00CA2FFE"/>
    <w:rsid w:val="00CA3D0C"/>
    <w:rsid w:val="00CA3FDA"/>
    <w:rsid w:val="00CA654B"/>
    <w:rsid w:val="00CB0A1A"/>
    <w:rsid w:val="00CB60E4"/>
    <w:rsid w:val="00CB72B8"/>
    <w:rsid w:val="00CC0351"/>
    <w:rsid w:val="00CC2D21"/>
    <w:rsid w:val="00CC35A7"/>
    <w:rsid w:val="00CC5365"/>
    <w:rsid w:val="00CC667A"/>
    <w:rsid w:val="00CC6B0D"/>
    <w:rsid w:val="00CD0926"/>
    <w:rsid w:val="00CD0E69"/>
    <w:rsid w:val="00CD2DB2"/>
    <w:rsid w:val="00CD4C7B"/>
    <w:rsid w:val="00CD52DF"/>
    <w:rsid w:val="00CD58FE"/>
    <w:rsid w:val="00CD5E09"/>
    <w:rsid w:val="00CD60F8"/>
    <w:rsid w:val="00CE0516"/>
    <w:rsid w:val="00CE08EC"/>
    <w:rsid w:val="00CE1978"/>
    <w:rsid w:val="00CE292F"/>
    <w:rsid w:val="00CE548D"/>
    <w:rsid w:val="00CE60B5"/>
    <w:rsid w:val="00CE6581"/>
    <w:rsid w:val="00CE787D"/>
    <w:rsid w:val="00CF0C2C"/>
    <w:rsid w:val="00CF7A7E"/>
    <w:rsid w:val="00D0214D"/>
    <w:rsid w:val="00D021AE"/>
    <w:rsid w:val="00D0335D"/>
    <w:rsid w:val="00D034D5"/>
    <w:rsid w:val="00D03687"/>
    <w:rsid w:val="00D1002A"/>
    <w:rsid w:val="00D1006A"/>
    <w:rsid w:val="00D15E69"/>
    <w:rsid w:val="00D16337"/>
    <w:rsid w:val="00D171F4"/>
    <w:rsid w:val="00D22446"/>
    <w:rsid w:val="00D234C1"/>
    <w:rsid w:val="00D23A1C"/>
    <w:rsid w:val="00D25736"/>
    <w:rsid w:val="00D320C7"/>
    <w:rsid w:val="00D32F6F"/>
    <w:rsid w:val="00D33BE3"/>
    <w:rsid w:val="00D3792D"/>
    <w:rsid w:val="00D37A6C"/>
    <w:rsid w:val="00D40748"/>
    <w:rsid w:val="00D40FDB"/>
    <w:rsid w:val="00D42708"/>
    <w:rsid w:val="00D43AA7"/>
    <w:rsid w:val="00D45EC2"/>
    <w:rsid w:val="00D46CDE"/>
    <w:rsid w:val="00D46F47"/>
    <w:rsid w:val="00D55E47"/>
    <w:rsid w:val="00D60A17"/>
    <w:rsid w:val="00D62080"/>
    <w:rsid w:val="00D62E19"/>
    <w:rsid w:val="00D67CD1"/>
    <w:rsid w:val="00D7105D"/>
    <w:rsid w:val="00D72CD9"/>
    <w:rsid w:val="00D738D6"/>
    <w:rsid w:val="00D74B03"/>
    <w:rsid w:val="00D7510B"/>
    <w:rsid w:val="00D76BAE"/>
    <w:rsid w:val="00D77D55"/>
    <w:rsid w:val="00D80795"/>
    <w:rsid w:val="00D81AB4"/>
    <w:rsid w:val="00D854BE"/>
    <w:rsid w:val="00D85A12"/>
    <w:rsid w:val="00D87E00"/>
    <w:rsid w:val="00D87F08"/>
    <w:rsid w:val="00D90F29"/>
    <w:rsid w:val="00D9134D"/>
    <w:rsid w:val="00D93D02"/>
    <w:rsid w:val="00D96D11"/>
    <w:rsid w:val="00DA1667"/>
    <w:rsid w:val="00DA21FF"/>
    <w:rsid w:val="00DA260D"/>
    <w:rsid w:val="00DA5B5B"/>
    <w:rsid w:val="00DA7A03"/>
    <w:rsid w:val="00DB0DB8"/>
    <w:rsid w:val="00DB16E5"/>
    <w:rsid w:val="00DB1818"/>
    <w:rsid w:val="00DB3FB7"/>
    <w:rsid w:val="00DB5CB9"/>
    <w:rsid w:val="00DC309B"/>
    <w:rsid w:val="00DC4DA2"/>
    <w:rsid w:val="00DC5261"/>
    <w:rsid w:val="00DD10B1"/>
    <w:rsid w:val="00DD7849"/>
    <w:rsid w:val="00DD7AE3"/>
    <w:rsid w:val="00DE25D2"/>
    <w:rsid w:val="00DE4A55"/>
    <w:rsid w:val="00DE4C4A"/>
    <w:rsid w:val="00DF30BA"/>
    <w:rsid w:val="00DF55AD"/>
    <w:rsid w:val="00E007FC"/>
    <w:rsid w:val="00E01CE2"/>
    <w:rsid w:val="00E0241B"/>
    <w:rsid w:val="00E04322"/>
    <w:rsid w:val="00E10F2D"/>
    <w:rsid w:val="00E13429"/>
    <w:rsid w:val="00E2202C"/>
    <w:rsid w:val="00E222B0"/>
    <w:rsid w:val="00E250D7"/>
    <w:rsid w:val="00E2540F"/>
    <w:rsid w:val="00E2781E"/>
    <w:rsid w:val="00E301FF"/>
    <w:rsid w:val="00E30813"/>
    <w:rsid w:val="00E31EC6"/>
    <w:rsid w:val="00E31FA1"/>
    <w:rsid w:val="00E35CF7"/>
    <w:rsid w:val="00E36D74"/>
    <w:rsid w:val="00E37277"/>
    <w:rsid w:val="00E40AAC"/>
    <w:rsid w:val="00E41B62"/>
    <w:rsid w:val="00E46B3C"/>
    <w:rsid w:val="00E46C08"/>
    <w:rsid w:val="00E46C9F"/>
    <w:rsid w:val="00E471CF"/>
    <w:rsid w:val="00E53607"/>
    <w:rsid w:val="00E548A1"/>
    <w:rsid w:val="00E55116"/>
    <w:rsid w:val="00E56AC6"/>
    <w:rsid w:val="00E62835"/>
    <w:rsid w:val="00E635B2"/>
    <w:rsid w:val="00E658D5"/>
    <w:rsid w:val="00E658E6"/>
    <w:rsid w:val="00E6612C"/>
    <w:rsid w:val="00E72778"/>
    <w:rsid w:val="00E74820"/>
    <w:rsid w:val="00E749A6"/>
    <w:rsid w:val="00E76D0C"/>
    <w:rsid w:val="00E77645"/>
    <w:rsid w:val="00E83060"/>
    <w:rsid w:val="00E833E3"/>
    <w:rsid w:val="00E83697"/>
    <w:rsid w:val="00E85E5F"/>
    <w:rsid w:val="00E902BF"/>
    <w:rsid w:val="00E90E3A"/>
    <w:rsid w:val="00E910CD"/>
    <w:rsid w:val="00E922CC"/>
    <w:rsid w:val="00E970B9"/>
    <w:rsid w:val="00EA156F"/>
    <w:rsid w:val="00EA4AD7"/>
    <w:rsid w:val="00EA4AF9"/>
    <w:rsid w:val="00EA66C9"/>
    <w:rsid w:val="00EB3DE4"/>
    <w:rsid w:val="00EC4680"/>
    <w:rsid w:val="00EC4A25"/>
    <w:rsid w:val="00EC4F39"/>
    <w:rsid w:val="00EC5692"/>
    <w:rsid w:val="00EC5EBB"/>
    <w:rsid w:val="00EC7B2F"/>
    <w:rsid w:val="00ED65B6"/>
    <w:rsid w:val="00ED6796"/>
    <w:rsid w:val="00ED7586"/>
    <w:rsid w:val="00EE0FA1"/>
    <w:rsid w:val="00EE3A13"/>
    <w:rsid w:val="00EE67B0"/>
    <w:rsid w:val="00EF57B1"/>
    <w:rsid w:val="00EF7121"/>
    <w:rsid w:val="00F001BF"/>
    <w:rsid w:val="00F025A2"/>
    <w:rsid w:val="00F036E9"/>
    <w:rsid w:val="00F03920"/>
    <w:rsid w:val="00F05BFB"/>
    <w:rsid w:val="00F062FB"/>
    <w:rsid w:val="00F0659D"/>
    <w:rsid w:val="00F07388"/>
    <w:rsid w:val="00F11561"/>
    <w:rsid w:val="00F1322B"/>
    <w:rsid w:val="00F2026E"/>
    <w:rsid w:val="00F2210A"/>
    <w:rsid w:val="00F2369E"/>
    <w:rsid w:val="00F23D7D"/>
    <w:rsid w:val="00F24C73"/>
    <w:rsid w:val="00F36A40"/>
    <w:rsid w:val="00F3748D"/>
    <w:rsid w:val="00F37743"/>
    <w:rsid w:val="00F37B3A"/>
    <w:rsid w:val="00F406AE"/>
    <w:rsid w:val="00F432CB"/>
    <w:rsid w:val="00F460B0"/>
    <w:rsid w:val="00F53B17"/>
    <w:rsid w:val="00F54A3D"/>
    <w:rsid w:val="00F54CB0"/>
    <w:rsid w:val="00F54E23"/>
    <w:rsid w:val="00F55264"/>
    <w:rsid w:val="00F579CD"/>
    <w:rsid w:val="00F60359"/>
    <w:rsid w:val="00F62DBB"/>
    <w:rsid w:val="00F653B8"/>
    <w:rsid w:val="00F70834"/>
    <w:rsid w:val="00F71B89"/>
    <w:rsid w:val="00F7318A"/>
    <w:rsid w:val="00F7353C"/>
    <w:rsid w:val="00F74567"/>
    <w:rsid w:val="00F76427"/>
    <w:rsid w:val="00F76CF1"/>
    <w:rsid w:val="00F76E46"/>
    <w:rsid w:val="00F76F8F"/>
    <w:rsid w:val="00F80689"/>
    <w:rsid w:val="00F8192B"/>
    <w:rsid w:val="00F8201F"/>
    <w:rsid w:val="00F844E0"/>
    <w:rsid w:val="00F85482"/>
    <w:rsid w:val="00F941DF"/>
    <w:rsid w:val="00F973DE"/>
    <w:rsid w:val="00FA1266"/>
    <w:rsid w:val="00FA14F6"/>
    <w:rsid w:val="00FA271C"/>
    <w:rsid w:val="00FA5B7B"/>
    <w:rsid w:val="00FB245F"/>
    <w:rsid w:val="00FB340E"/>
    <w:rsid w:val="00FB36FA"/>
    <w:rsid w:val="00FB43BB"/>
    <w:rsid w:val="00FB4742"/>
    <w:rsid w:val="00FB659D"/>
    <w:rsid w:val="00FC0572"/>
    <w:rsid w:val="00FC1192"/>
    <w:rsid w:val="00FC1529"/>
    <w:rsid w:val="00FC3F28"/>
    <w:rsid w:val="00FC4BDE"/>
    <w:rsid w:val="00FC628F"/>
    <w:rsid w:val="00FC7EF9"/>
    <w:rsid w:val="00FD2DDC"/>
    <w:rsid w:val="00FD315B"/>
    <w:rsid w:val="00FD47ED"/>
    <w:rsid w:val="00FD4988"/>
    <w:rsid w:val="00FD5C2C"/>
    <w:rsid w:val="00FE0F2E"/>
    <w:rsid w:val="00FE1627"/>
    <w:rsid w:val="00FE1B71"/>
    <w:rsid w:val="00FE251B"/>
    <w:rsid w:val="00FE297F"/>
    <w:rsid w:val="00FE4058"/>
    <w:rsid w:val="00FE790A"/>
    <w:rsid w:val="00FF2491"/>
    <w:rsid w:val="00FF5DC9"/>
    <w:rsid w:val="00FF78AB"/>
    <w:rsid w:val="2BB3E45C"/>
    <w:rsid w:val="2D9DA515"/>
    <w:rsid w:val="2EB6AB32"/>
    <w:rsid w:val="30E9B274"/>
    <w:rsid w:val="3B68E559"/>
    <w:rsid w:val="5AF5414E"/>
    <w:rsid w:val="5DA2B800"/>
    <w:rsid w:val="6E8F67DB"/>
    <w:rsid w:val="7AF333EF"/>
    <w:rsid w:val="7CEBD4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2A59963-CFE9-4567-B564-2020B499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01DD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customStyle="1" w:styleId="Heading2Char">
    <w:name w:val="Heading 2 Char"/>
    <w:basedOn w:val="DefaultParagraphFont"/>
    <w:link w:val="Heading2"/>
    <w:rsid w:val="004727B3"/>
    <w:rPr>
      <w:rFonts w:ascii="Arial" w:hAnsi="Arial"/>
      <w:sz w:val="32"/>
      <w:lang w:eastAsia="en-US"/>
    </w:rPr>
  </w:style>
  <w:style w:type="paragraph" w:styleId="Revision">
    <w:name w:val="Revision"/>
    <w:hidden/>
    <w:uiPriority w:val="99"/>
    <w:semiHidden/>
    <w:rsid w:val="001435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77355">
      <w:bodyDiv w:val="1"/>
      <w:marLeft w:val="0"/>
      <w:marRight w:val="0"/>
      <w:marTop w:val="0"/>
      <w:marBottom w:val="0"/>
      <w:divBdr>
        <w:top w:val="none" w:sz="0" w:space="0" w:color="auto"/>
        <w:left w:val="none" w:sz="0" w:space="0" w:color="auto"/>
        <w:bottom w:val="none" w:sz="0" w:space="0" w:color="auto"/>
        <w:right w:val="none" w:sz="0" w:space="0" w:color="auto"/>
      </w:divBdr>
    </w:div>
    <w:div w:id="294917021">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88252076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5AIRPNAIUNRU-859666464-8427</_dlc_DocId>
    <_dlc_DocIdUrl xmlns="71c5aaf6-e6ce-465b-b873-5148d2a4c105">
      <Url>https://nokia.sharepoint.com/sites/c5g/e2earch/_layouts/15/DocIdRedir.aspx?ID=5AIRPNAIUNRU-859666464-8427</Url>
      <Description>5AIRPNAIUNRU-859666464-8427</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5D5DB07-4BF6-4FB8-BA5C-CA8079C4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4</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317</cp:revision>
  <dcterms:created xsi:type="dcterms:W3CDTF">2021-03-20T00:51:00Z</dcterms:created>
  <dcterms:modified xsi:type="dcterms:W3CDTF">2021-04-02T01:29:00Z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88a69cfd-3fd2-4419-9fe7-66a96efebbc7</vt:lpwstr>
  </property>
</Properties>
</file>